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E6DF3">
      <w:pPr>
        <w:autoSpaceDE w:val="0"/>
        <w:autoSpaceDN w:val="0"/>
        <w:adjustRightInd w:val="0"/>
        <w:spacing w:line="360" w:lineRule="auto"/>
        <w:jc w:val="left"/>
        <w:rPr>
          <w:rFonts w:eastAsiaTheme="minorEastAsia"/>
          <w:color w:val="000000" w:themeColor="text1"/>
          <w:kern w:val="0"/>
          <w:szCs w:val="21"/>
        </w:rPr>
      </w:pP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摩根核心优选混合型证券投资基金</w:t>
      </w:r>
    </w:p>
    <w:p w:rsidR="005E6DF3" w:rsidRPr="00B27A29" w:rsidRDefault="005C671B">
      <w:pPr>
        <w:spacing w:line="360" w:lineRule="auto"/>
        <w:jc w:val="center"/>
        <w:rPr>
          <w:rFonts w:eastAsiaTheme="minorEastAsia"/>
          <w:b/>
          <w:color w:val="000000" w:themeColor="text1"/>
          <w:sz w:val="36"/>
          <w:szCs w:val="36"/>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年第</w:t>
      </w:r>
      <w:r w:rsidRPr="00B27A29">
        <w:rPr>
          <w:rFonts w:eastAsiaTheme="minorEastAsia"/>
          <w:b/>
          <w:color w:val="000000" w:themeColor="text1"/>
          <w:sz w:val="36"/>
          <w:szCs w:val="36"/>
        </w:rPr>
        <w:t>1</w:t>
      </w:r>
      <w:r w:rsidRPr="00B27A29">
        <w:rPr>
          <w:rFonts w:eastAsiaTheme="minorEastAsia"/>
          <w:b/>
          <w:color w:val="000000" w:themeColor="text1"/>
          <w:sz w:val="36"/>
          <w:szCs w:val="36"/>
        </w:rPr>
        <w:t>季度报告</w:t>
      </w:r>
    </w:p>
    <w:p w:rsidR="005E6DF3" w:rsidRPr="00B27A29" w:rsidRDefault="005C671B">
      <w:pPr>
        <w:spacing w:line="360" w:lineRule="auto"/>
        <w:jc w:val="center"/>
        <w:rPr>
          <w:rFonts w:eastAsiaTheme="minorEastAsia"/>
          <w:b/>
          <w:color w:val="000000" w:themeColor="text1"/>
          <w:szCs w:val="21"/>
        </w:rPr>
      </w:pPr>
      <w:r w:rsidRPr="00B27A29">
        <w:rPr>
          <w:rFonts w:eastAsiaTheme="minorEastAsia"/>
          <w:b/>
          <w:color w:val="000000" w:themeColor="text1"/>
          <w:sz w:val="36"/>
          <w:szCs w:val="36"/>
        </w:rPr>
        <w:t>2024</w:t>
      </w:r>
      <w:r w:rsidRPr="00B27A29">
        <w:rPr>
          <w:rFonts w:eastAsiaTheme="minorEastAsia"/>
          <w:b/>
          <w:color w:val="000000" w:themeColor="text1"/>
          <w:sz w:val="36"/>
          <w:szCs w:val="36"/>
        </w:rPr>
        <w:t>年</w:t>
      </w:r>
      <w:r w:rsidRPr="00B27A29">
        <w:rPr>
          <w:rFonts w:eastAsiaTheme="minorEastAsia"/>
          <w:b/>
          <w:color w:val="000000" w:themeColor="text1"/>
          <w:sz w:val="36"/>
          <w:szCs w:val="36"/>
        </w:rPr>
        <w:t>3</w:t>
      </w:r>
      <w:r w:rsidRPr="00B27A29">
        <w:rPr>
          <w:rFonts w:eastAsiaTheme="minorEastAsia"/>
          <w:b/>
          <w:color w:val="000000" w:themeColor="text1"/>
          <w:sz w:val="36"/>
          <w:szCs w:val="36"/>
        </w:rPr>
        <w:t>月</w:t>
      </w:r>
      <w:r w:rsidRPr="00B27A29">
        <w:rPr>
          <w:rFonts w:eastAsiaTheme="minorEastAsia"/>
          <w:b/>
          <w:color w:val="000000" w:themeColor="text1"/>
          <w:sz w:val="36"/>
          <w:szCs w:val="36"/>
        </w:rPr>
        <w:t>31</w:t>
      </w:r>
      <w:r w:rsidRPr="00B27A29">
        <w:rPr>
          <w:rFonts w:eastAsiaTheme="minorEastAsia"/>
          <w:b/>
          <w:color w:val="000000" w:themeColor="text1"/>
          <w:sz w:val="36"/>
          <w:szCs w:val="36"/>
        </w:rPr>
        <w:t>日</w:t>
      </w: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jc w:val="center"/>
        <w:rPr>
          <w:rFonts w:eastAsiaTheme="minorEastAsia"/>
          <w:b/>
          <w:color w:val="000000" w:themeColor="text1"/>
          <w:szCs w:val="21"/>
        </w:rPr>
      </w:pPr>
    </w:p>
    <w:p w:rsidR="005E6DF3" w:rsidRPr="00B27A29" w:rsidRDefault="005E6DF3">
      <w:pPr>
        <w:spacing w:line="360" w:lineRule="auto"/>
        <w:rPr>
          <w:rFonts w:eastAsiaTheme="minorEastAsia"/>
          <w:b/>
          <w:color w:val="000000" w:themeColor="text1"/>
          <w:szCs w:val="21"/>
        </w:rPr>
      </w:pP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基金管理人：摩根基金管理（中国）有限公司</w:t>
      </w:r>
    </w:p>
    <w:p w:rsidR="005E6DF3" w:rsidRPr="00B27A29" w:rsidRDefault="005C671B">
      <w:pPr>
        <w:spacing w:line="360" w:lineRule="auto"/>
        <w:ind w:firstLineChars="900" w:firstLine="2168"/>
        <w:rPr>
          <w:rFonts w:eastAsiaTheme="minorEastAsia"/>
          <w:b/>
          <w:color w:val="000000" w:themeColor="text1"/>
          <w:sz w:val="24"/>
        </w:rPr>
      </w:pPr>
      <w:r w:rsidRPr="00B27A29">
        <w:rPr>
          <w:rFonts w:eastAsiaTheme="minorEastAsia"/>
          <w:b/>
          <w:color w:val="000000" w:themeColor="text1"/>
          <w:sz w:val="24"/>
        </w:rPr>
        <w:t>基金托管人：中国建设银行股份有限公司</w:t>
      </w:r>
    </w:p>
    <w:p w:rsidR="005E6DF3" w:rsidRPr="00B27A29" w:rsidRDefault="005C671B">
      <w:pPr>
        <w:spacing w:line="360" w:lineRule="auto"/>
        <w:ind w:firstLineChars="900" w:firstLine="2168"/>
        <w:rPr>
          <w:rFonts w:eastAsiaTheme="minorEastAsia"/>
          <w:color w:val="000000" w:themeColor="text1"/>
          <w:szCs w:val="21"/>
        </w:rPr>
        <w:sectPr w:rsidR="005E6DF3" w:rsidRPr="00B27A29">
          <w:headerReference w:type="default" r:id="rId8"/>
          <w:footerReference w:type="default" r:id="rId9"/>
          <w:pgSz w:w="11926" w:h="15840"/>
          <w:pgMar w:top="1418" w:right="1418" w:bottom="851" w:left="1418" w:header="851" w:footer="992" w:gutter="0"/>
          <w:cols w:space="720"/>
        </w:sectPr>
      </w:pPr>
      <w:r w:rsidRPr="00B27A29">
        <w:rPr>
          <w:rFonts w:eastAsiaTheme="minorEastAsia"/>
          <w:b/>
          <w:color w:val="000000" w:themeColor="text1"/>
          <w:sz w:val="24"/>
        </w:rPr>
        <w:t>报告送出日期：二〇二四年四月二十二日</w:t>
      </w:r>
    </w:p>
    <w:p w:rsidR="005E6DF3" w:rsidRPr="00B27A29" w:rsidRDefault="005C671B">
      <w:pPr>
        <w:pStyle w:val="1"/>
        <w:spacing w:beforeLines="100" w:before="312" w:afterLines="100" w:after="312" w:line="360" w:lineRule="auto"/>
        <w:jc w:val="center"/>
        <w:rPr>
          <w:rFonts w:eastAsiaTheme="minorEastAsia"/>
          <w:b w:val="0"/>
          <w:color w:val="000000" w:themeColor="text1"/>
          <w:kern w:val="0"/>
          <w:sz w:val="21"/>
          <w:szCs w:val="21"/>
        </w:rPr>
      </w:pPr>
      <w:r w:rsidRPr="00B27A29">
        <w:rPr>
          <w:rFonts w:eastAsiaTheme="minorEastAsia"/>
          <w:color w:val="000000" w:themeColor="text1"/>
          <w:kern w:val="0"/>
          <w:sz w:val="21"/>
          <w:szCs w:val="21"/>
        </w:rPr>
        <w:lastRenderedPageBreak/>
        <w:t xml:space="preserve">§1  </w:t>
      </w:r>
      <w:r w:rsidRPr="00B27A29">
        <w:rPr>
          <w:rFonts w:eastAsiaTheme="minorEastAsia"/>
          <w:color w:val="000000" w:themeColor="text1"/>
          <w:kern w:val="0"/>
          <w:sz w:val="21"/>
          <w:szCs w:val="21"/>
        </w:rPr>
        <w:t>重要提示</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szCs w:val="21"/>
        </w:rPr>
        <w:t xml:space="preserve"> </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基金托管人中国建设银行股份有限公司根据本基金合同规定，于</w:t>
      </w:r>
      <w:r>
        <w:rPr>
          <w:rFonts w:eastAsiaTheme="minorEastAsia"/>
          <w:color w:val="000000" w:themeColor="text1"/>
          <w:szCs w:val="21"/>
        </w:rPr>
        <w:t>2024</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19</w:t>
      </w:r>
      <w:r>
        <w:rPr>
          <w:rFonts w:eastAsiaTheme="minorEastAsia"/>
          <w:color w:val="000000" w:themeColor="text1"/>
          <w:szCs w:val="21"/>
        </w:rPr>
        <w:t>日复核了本报告中的财务指标、净值表现和投资组合报告等内容，保证复核内容不存在虚假记载、误导性陈述或者重大遗漏。</w:t>
      </w:r>
      <w:r>
        <w:rPr>
          <w:rFonts w:eastAsiaTheme="minorEastAsia"/>
          <w:color w:val="000000" w:themeColor="text1"/>
          <w:szCs w:val="21"/>
        </w:rPr>
        <w:t xml:space="preserve"> </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r>
        <w:rPr>
          <w:rFonts w:eastAsiaTheme="minorEastAsia"/>
          <w:color w:val="000000" w:themeColor="text1"/>
          <w:szCs w:val="21"/>
        </w:rPr>
        <w:t xml:space="preserve"> </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r>
        <w:rPr>
          <w:rFonts w:eastAsiaTheme="minorEastAsia"/>
          <w:color w:val="000000" w:themeColor="text1"/>
          <w:szCs w:val="21"/>
        </w:rPr>
        <w:t xml:space="preserve"> </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本报告期自</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日起至</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日止。</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§2  </w:t>
      </w:r>
      <w:r w:rsidRPr="00B27A29">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739"/>
        <w:gridCol w:w="2740"/>
      </w:tblGrid>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基金简称</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摩根核心优选混合</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370024</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契约型开放式</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基金合同生效日</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2012</w:t>
            </w:r>
            <w:r w:rsidRPr="00B27A29">
              <w:rPr>
                <w:rFonts w:eastAsiaTheme="minorEastAsia"/>
                <w:color w:val="000000" w:themeColor="text1"/>
                <w:kern w:val="0"/>
                <w:szCs w:val="21"/>
              </w:rPr>
              <w:t>年</w:t>
            </w:r>
            <w:r w:rsidRPr="00B27A29">
              <w:rPr>
                <w:rFonts w:eastAsiaTheme="minorEastAsia"/>
                <w:color w:val="000000" w:themeColor="text1"/>
                <w:kern w:val="0"/>
                <w:szCs w:val="21"/>
              </w:rPr>
              <w:t>11</w:t>
            </w:r>
            <w:r w:rsidRPr="00B27A29">
              <w:rPr>
                <w:rFonts w:eastAsiaTheme="minorEastAsia"/>
                <w:color w:val="000000" w:themeColor="text1"/>
                <w:kern w:val="0"/>
                <w:szCs w:val="21"/>
              </w:rPr>
              <w:t>月</w:t>
            </w:r>
            <w:r w:rsidRPr="00B27A29">
              <w:rPr>
                <w:rFonts w:eastAsiaTheme="minorEastAsia"/>
                <w:color w:val="000000" w:themeColor="text1"/>
                <w:kern w:val="0"/>
                <w:szCs w:val="21"/>
              </w:rPr>
              <w:t>28</w:t>
            </w:r>
            <w:r w:rsidRPr="00B27A29">
              <w:rPr>
                <w:rFonts w:eastAsiaTheme="minorEastAsia"/>
                <w:color w:val="000000" w:themeColor="text1"/>
                <w:kern w:val="0"/>
                <w:szCs w:val="21"/>
              </w:rPr>
              <w:t>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报告期末基金份额总额</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156,808,944.16</w:t>
            </w:r>
            <w:r w:rsidRPr="00B27A29">
              <w:rPr>
                <w:rFonts w:eastAsiaTheme="minorEastAsia"/>
                <w:color w:val="000000" w:themeColor="text1"/>
                <w:kern w:val="0"/>
                <w:szCs w:val="21"/>
              </w:rPr>
              <w:t>份</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投资目标</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本基金将充分利用基金管理人研究团队的集体智慧，以内部研究组合作为核心股票，从中优选出具有良好基本面和较高成长性的公司进行投资，力争实现基金资产的长期稳定增值。</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投资策略</w:t>
            </w:r>
          </w:p>
        </w:tc>
        <w:tc>
          <w:tcPr>
            <w:tcW w:w="5479" w:type="dxa"/>
            <w:gridSpan w:val="2"/>
            <w:vAlign w:val="center"/>
          </w:tcPr>
          <w:p w:rsidR="005279F0" w:rsidRDefault="008827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5279F0" w:rsidRDefault="008827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从宏观层面出发，采用定量分析和定性分析相结合的手段，对宏观经济、国家政策、资金面和市场情绪等影响证券市场的重要因素进行综合分析，结合股票、债券等各类资产风险收益特征，确定合适的资产配置比例。</w:t>
            </w:r>
          </w:p>
          <w:p w:rsidR="005279F0" w:rsidRDefault="008827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、股票投资策略</w:t>
            </w:r>
          </w:p>
          <w:p w:rsidR="005279F0" w:rsidRDefault="008827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本基金将依托本基金管理人的研究平台，采用</w:t>
            </w:r>
            <w:r>
              <w:rPr>
                <w:rFonts w:eastAsiaTheme="minorEastAsia"/>
                <w:color w:val="000000" w:themeColor="text1"/>
                <w:kern w:val="0"/>
                <w:szCs w:val="21"/>
              </w:rPr>
              <w:t>“</w:t>
            </w:r>
            <w:r>
              <w:rPr>
                <w:rFonts w:eastAsiaTheme="minorEastAsia"/>
                <w:color w:val="000000" w:themeColor="text1"/>
                <w:kern w:val="0"/>
                <w:szCs w:val="21"/>
              </w:rPr>
              <w:t>自下而上</w:t>
            </w:r>
            <w:r>
              <w:rPr>
                <w:rFonts w:eastAsiaTheme="minorEastAsia"/>
                <w:color w:val="000000" w:themeColor="text1"/>
                <w:kern w:val="0"/>
                <w:szCs w:val="21"/>
              </w:rPr>
              <w:t>”</w:t>
            </w:r>
            <w:r>
              <w:rPr>
                <w:rFonts w:eastAsiaTheme="minorEastAsia"/>
                <w:color w:val="000000" w:themeColor="text1"/>
                <w:kern w:val="0"/>
                <w:szCs w:val="21"/>
              </w:rPr>
              <w:t>的个股精选策略，</w:t>
            </w:r>
            <w:r>
              <w:rPr>
                <w:rFonts w:eastAsiaTheme="minorEastAsia"/>
                <w:color w:val="000000" w:themeColor="text1"/>
                <w:kern w:val="0"/>
                <w:szCs w:val="21"/>
              </w:rPr>
              <w:t xml:space="preserve"> </w:t>
            </w:r>
            <w:r>
              <w:rPr>
                <w:rFonts w:eastAsiaTheme="minorEastAsia"/>
                <w:color w:val="000000" w:themeColor="text1"/>
                <w:kern w:val="0"/>
                <w:szCs w:val="21"/>
              </w:rPr>
              <w:t>基于公司内部研究团队对于个股的基本面的深入研究和细致的实地调研，选择具有良好基本面和成长空间的个股。本基金的股票投资包含核心股票和优选股票两个层面。核心股票由公司内部研究组合构成，主要包含了研究部推荐股票，是研究员在对个股进行深度研究和实地调研基础上提出的投资建议。优选股票是指基金经理基于对宏观经济、政策、行业以及个股的深入研究与把握，从核心股票中优选具有良好投资价值的股票，构建股票投资组合。本基金明确提出将不低于</w:t>
            </w:r>
            <w:r>
              <w:rPr>
                <w:rFonts w:eastAsiaTheme="minorEastAsia"/>
                <w:color w:val="000000" w:themeColor="text1"/>
                <w:kern w:val="0"/>
                <w:szCs w:val="21"/>
              </w:rPr>
              <w:t>80%</w:t>
            </w:r>
            <w:r>
              <w:rPr>
                <w:rFonts w:eastAsiaTheme="minorEastAsia"/>
                <w:color w:val="000000" w:themeColor="text1"/>
                <w:kern w:val="0"/>
                <w:szCs w:val="21"/>
              </w:rPr>
              <w:t>的股票资产投资于公司内部研究组合中的股票。</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、其他投资策略：包括行业配置策略、固定收益类投资策略、可转换债券投资策略、权证投资策略、股指期货投资策略、存托凭证投资策略。</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lastRenderedPageBreak/>
              <w:t>业绩比较基准</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沪深</w:t>
            </w:r>
            <w:r w:rsidRPr="00B27A29">
              <w:rPr>
                <w:rFonts w:eastAsiaTheme="minorEastAsia"/>
                <w:color w:val="000000" w:themeColor="text1"/>
                <w:kern w:val="0"/>
                <w:szCs w:val="21"/>
              </w:rPr>
              <w:t>300</w:t>
            </w:r>
            <w:r w:rsidRPr="00B27A29">
              <w:rPr>
                <w:rFonts w:eastAsiaTheme="minorEastAsia"/>
                <w:color w:val="000000" w:themeColor="text1"/>
                <w:kern w:val="0"/>
                <w:szCs w:val="21"/>
              </w:rPr>
              <w:t>指数收益率</w:t>
            </w:r>
            <w:r w:rsidRPr="00B27A29">
              <w:rPr>
                <w:rFonts w:eastAsiaTheme="minorEastAsia"/>
                <w:color w:val="000000" w:themeColor="text1"/>
                <w:kern w:val="0"/>
                <w:szCs w:val="21"/>
              </w:rPr>
              <w:t>×85%+</w:t>
            </w:r>
            <w:r w:rsidRPr="00B27A29">
              <w:rPr>
                <w:rFonts w:eastAsiaTheme="minorEastAsia"/>
                <w:color w:val="000000" w:themeColor="text1"/>
                <w:kern w:val="0"/>
                <w:szCs w:val="21"/>
              </w:rPr>
              <w:t>上证国债指数收益率</w:t>
            </w:r>
            <w:r w:rsidRPr="00B27A29">
              <w:rPr>
                <w:rFonts w:eastAsiaTheme="minorEastAsia"/>
                <w:color w:val="000000" w:themeColor="text1"/>
                <w:kern w:val="0"/>
                <w:szCs w:val="21"/>
              </w:rPr>
              <w:t>×15%</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风险收益特征</w:t>
            </w:r>
          </w:p>
        </w:tc>
        <w:tc>
          <w:tcPr>
            <w:tcW w:w="5479" w:type="dxa"/>
            <w:gridSpan w:val="2"/>
            <w:vAlign w:val="center"/>
          </w:tcPr>
          <w:p w:rsidR="005279F0" w:rsidRDefault="008827D2">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本基金是一只主动投资的混合型基金，其预期风险和预期收益低于股票型基金，高于债券型基金和货币市场基金，属于较高风险、较高预期收益的基金产品。</w:t>
            </w:r>
          </w:p>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根据</w:t>
            </w:r>
            <w:r w:rsidRPr="00B27A29">
              <w:rPr>
                <w:rFonts w:eastAsiaTheme="minorEastAsia"/>
                <w:color w:val="000000" w:themeColor="text1"/>
                <w:kern w:val="0"/>
                <w:szCs w:val="21"/>
              </w:rPr>
              <w:t>2017</w:t>
            </w:r>
            <w:r w:rsidRPr="00B27A29">
              <w:rPr>
                <w:rFonts w:eastAsiaTheme="minorEastAsia"/>
                <w:color w:val="000000" w:themeColor="text1"/>
                <w:kern w:val="0"/>
                <w:szCs w:val="21"/>
              </w:rPr>
              <w:t>年</w:t>
            </w:r>
            <w:r w:rsidRPr="00B27A29">
              <w:rPr>
                <w:rFonts w:eastAsiaTheme="minorEastAsia"/>
                <w:color w:val="000000" w:themeColor="text1"/>
                <w:kern w:val="0"/>
                <w:szCs w:val="21"/>
              </w:rPr>
              <w:t>7</w:t>
            </w:r>
            <w:r w:rsidRPr="00B27A29">
              <w:rPr>
                <w:rFonts w:eastAsiaTheme="minorEastAsia"/>
                <w:color w:val="000000" w:themeColor="text1"/>
                <w:kern w:val="0"/>
                <w:szCs w:val="21"/>
              </w:rPr>
              <w:t>月</w:t>
            </w:r>
            <w:r w:rsidRPr="00B27A29">
              <w:rPr>
                <w:rFonts w:eastAsiaTheme="minorEastAsia"/>
                <w:color w:val="000000" w:themeColor="text1"/>
                <w:kern w:val="0"/>
                <w:szCs w:val="21"/>
              </w:rPr>
              <w:t>1</w:t>
            </w:r>
            <w:r w:rsidRPr="00B27A29">
              <w:rPr>
                <w:rFonts w:eastAsiaTheme="minorEastAsia"/>
                <w:color w:val="000000" w:themeColor="text1"/>
                <w:kern w:val="0"/>
                <w:szCs w:val="21"/>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基金管理人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摩根基金管理（中国）有限公司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基金托管人</w:t>
            </w:r>
          </w:p>
        </w:tc>
        <w:tc>
          <w:tcPr>
            <w:tcW w:w="5479" w:type="dxa"/>
            <w:gridSpan w:val="2"/>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kern w:val="0"/>
                <w:szCs w:val="21"/>
              </w:rPr>
              <w:t>中国建设银行股份有限公司</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szCs w:val="21"/>
              </w:rPr>
              <w:t>下属分级基金的基金简称</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t>下属分级基金的交易代码</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370024</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015057</w:t>
            </w:r>
          </w:p>
        </w:tc>
      </w:tr>
      <w:tr w:rsidR="005E6DF3" w:rsidRPr="00B27A29">
        <w:tc>
          <w:tcPr>
            <w:tcW w:w="2835" w:type="dxa"/>
            <w:vAlign w:val="center"/>
          </w:tcPr>
          <w:p w:rsidR="005E6DF3" w:rsidRPr="00B27A29" w:rsidRDefault="005C671B">
            <w:pPr>
              <w:adjustRightInd w:val="0"/>
              <w:spacing w:before="29" w:line="360" w:lineRule="auto"/>
              <w:ind w:left="17"/>
              <w:rPr>
                <w:rFonts w:eastAsiaTheme="minorEastAsia"/>
                <w:color w:val="000000" w:themeColor="text1"/>
                <w:szCs w:val="21"/>
              </w:rPr>
            </w:pPr>
            <w:r w:rsidRPr="00B27A29">
              <w:rPr>
                <w:rFonts w:eastAsiaTheme="minorEastAsia"/>
                <w:color w:val="000000" w:themeColor="text1"/>
                <w:szCs w:val="21"/>
              </w:rPr>
              <w:lastRenderedPageBreak/>
              <w:t>报告期末下属分级基金的份额总额</w:t>
            </w:r>
          </w:p>
        </w:tc>
        <w:tc>
          <w:tcPr>
            <w:tcW w:w="2739"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156,704,233.15</w:t>
            </w:r>
            <w:r w:rsidRPr="00B27A29">
              <w:rPr>
                <w:rFonts w:eastAsiaTheme="minorEastAsia"/>
                <w:color w:val="000000" w:themeColor="text1"/>
                <w:kern w:val="0"/>
                <w:szCs w:val="21"/>
              </w:rPr>
              <w:t>份</w:t>
            </w:r>
          </w:p>
        </w:tc>
        <w:tc>
          <w:tcPr>
            <w:tcW w:w="2740"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104,711.01</w:t>
            </w:r>
            <w:r w:rsidRPr="00B27A29">
              <w:rPr>
                <w:rFonts w:eastAsiaTheme="minorEastAsia"/>
                <w:color w:val="000000" w:themeColor="text1"/>
                <w:kern w:val="0"/>
                <w:szCs w:val="21"/>
              </w:rPr>
              <w:t>份</w:t>
            </w:r>
          </w:p>
        </w:tc>
      </w:tr>
    </w:tbl>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§3  </w:t>
      </w:r>
      <w:r w:rsidRPr="00B27A29">
        <w:rPr>
          <w:rFonts w:eastAsiaTheme="minorEastAsia"/>
          <w:color w:val="000000" w:themeColor="text1"/>
          <w:kern w:val="0"/>
          <w:sz w:val="21"/>
          <w:szCs w:val="21"/>
        </w:rPr>
        <w:t>主要财务指标和基金净值表现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3.1 </w:t>
      </w:r>
      <w:r w:rsidRPr="00B27A29">
        <w:rPr>
          <w:rFonts w:eastAsiaTheme="minorEastAsia"/>
          <w:b/>
          <w:color w:val="000000" w:themeColor="text1"/>
          <w:kern w:val="0"/>
          <w:szCs w:val="21"/>
        </w:rPr>
        <w:t>主要财务指标</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81"/>
        <w:gridCol w:w="2481"/>
      </w:tblGrid>
      <w:tr w:rsidR="005E6DF3" w:rsidRPr="00B27A29">
        <w:tc>
          <w:tcPr>
            <w:tcW w:w="3402" w:type="dxa"/>
            <w:vMerge w:val="restart"/>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主要财务指标</w:t>
            </w:r>
          </w:p>
        </w:tc>
        <w:tc>
          <w:tcPr>
            <w:tcW w:w="4962" w:type="dxa"/>
            <w:gridSpan w:val="2"/>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报告期</w:t>
            </w:r>
          </w:p>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1</w:t>
            </w:r>
            <w:r w:rsidRPr="00B27A29">
              <w:rPr>
                <w:rFonts w:eastAsiaTheme="minorEastAsia"/>
                <w:color w:val="000000" w:themeColor="text1"/>
                <w:szCs w:val="21"/>
              </w:rPr>
              <w:t>月</w:t>
            </w:r>
            <w:r w:rsidRPr="00B27A29">
              <w:rPr>
                <w:rFonts w:eastAsiaTheme="minorEastAsia"/>
                <w:color w:val="000000" w:themeColor="text1"/>
                <w:szCs w:val="21"/>
              </w:rPr>
              <w:t>1</w:t>
            </w:r>
            <w:r w:rsidRPr="00B27A29">
              <w:rPr>
                <w:rFonts w:eastAsiaTheme="minorEastAsia"/>
                <w:color w:val="000000" w:themeColor="text1"/>
                <w:szCs w:val="21"/>
              </w:rPr>
              <w:t>日</w:t>
            </w:r>
            <w:r w:rsidRPr="00B27A29">
              <w:rPr>
                <w:rFonts w:eastAsiaTheme="minorEastAsia"/>
                <w:color w:val="000000" w:themeColor="text1"/>
                <w:szCs w:val="21"/>
              </w:rPr>
              <w:t>-2024</w:t>
            </w:r>
            <w:r w:rsidRPr="00B27A29">
              <w:rPr>
                <w:rFonts w:eastAsiaTheme="minorEastAsia"/>
                <w:color w:val="000000" w:themeColor="text1"/>
                <w:szCs w:val="21"/>
              </w:rPr>
              <w:t>年</w:t>
            </w:r>
            <w:r w:rsidRPr="00B27A29">
              <w:rPr>
                <w:rFonts w:eastAsiaTheme="minorEastAsia"/>
                <w:color w:val="000000" w:themeColor="text1"/>
                <w:szCs w:val="21"/>
              </w:rPr>
              <w:t>3</w:t>
            </w:r>
            <w:r w:rsidRPr="00B27A29">
              <w:rPr>
                <w:rFonts w:eastAsiaTheme="minorEastAsia"/>
                <w:color w:val="000000" w:themeColor="text1"/>
                <w:szCs w:val="21"/>
              </w:rPr>
              <w:t>月</w:t>
            </w:r>
            <w:r w:rsidRPr="00B27A29">
              <w:rPr>
                <w:rFonts w:eastAsiaTheme="minorEastAsia"/>
                <w:color w:val="000000" w:themeColor="text1"/>
                <w:szCs w:val="21"/>
              </w:rPr>
              <w:t>31</w:t>
            </w:r>
            <w:r w:rsidRPr="00B27A29">
              <w:rPr>
                <w:rFonts w:eastAsiaTheme="minorEastAsia"/>
                <w:color w:val="000000" w:themeColor="text1"/>
                <w:szCs w:val="21"/>
              </w:rPr>
              <w:t>日</w:t>
            </w:r>
            <w:r w:rsidRPr="00B27A29">
              <w:rPr>
                <w:rFonts w:eastAsiaTheme="minorEastAsia"/>
                <w:color w:val="000000" w:themeColor="text1"/>
                <w:szCs w:val="21"/>
              </w:rPr>
              <w:t>)</w:t>
            </w:r>
          </w:p>
        </w:tc>
      </w:tr>
      <w:tr w:rsidR="005E6DF3" w:rsidRPr="00B27A29">
        <w:tc>
          <w:tcPr>
            <w:tcW w:w="3402" w:type="dxa"/>
            <w:vMerge/>
            <w:vAlign w:val="center"/>
          </w:tcPr>
          <w:p w:rsidR="005E6DF3" w:rsidRPr="00B27A29" w:rsidRDefault="005E6DF3">
            <w:pPr>
              <w:adjustRightInd w:val="0"/>
              <w:spacing w:before="29" w:line="360" w:lineRule="auto"/>
              <w:ind w:left="17"/>
              <w:rPr>
                <w:rFonts w:eastAsiaTheme="minorEastAsia"/>
                <w:color w:val="000000" w:themeColor="text1"/>
                <w:kern w:val="0"/>
                <w:szCs w:val="21"/>
              </w:rPr>
            </w:pP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481" w:type="dxa"/>
            <w:vAlign w:val="center"/>
          </w:tcPr>
          <w:p w:rsidR="005E6DF3" w:rsidRPr="00B27A29" w:rsidRDefault="005C671B">
            <w:pPr>
              <w:adjustRightInd w:val="0"/>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1.</w:t>
            </w:r>
            <w:r w:rsidRPr="00B27A29">
              <w:rPr>
                <w:rFonts w:eastAsiaTheme="minorEastAsia"/>
                <w:color w:val="000000" w:themeColor="text1"/>
                <w:kern w:val="0"/>
                <w:szCs w:val="21"/>
              </w:rPr>
              <w:t>本期已实现收益</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-1,954,164.14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3,090.29</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2.</w:t>
            </w:r>
            <w:r w:rsidRPr="00B27A29">
              <w:rPr>
                <w:rFonts w:eastAsiaTheme="minorEastAsia"/>
                <w:color w:val="000000" w:themeColor="text1"/>
                <w:kern w:val="0"/>
                <w:szCs w:val="21"/>
              </w:rPr>
              <w:t>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15,679,988.04</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17,307.44</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3.</w:t>
            </w:r>
            <w:r w:rsidRPr="00B27A29">
              <w:rPr>
                <w:rFonts w:eastAsiaTheme="minorEastAsia"/>
                <w:color w:val="000000" w:themeColor="text1"/>
                <w:kern w:val="0"/>
                <w:szCs w:val="21"/>
              </w:rPr>
              <w:t>加权平均基金份额本期利润</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0.0992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0.1456</w:t>
            </w:r>
          </w:p>
        </w:tc>
      </w:tr>
      <w:tr w:rsidR="005E6DF3" w:rsidRPr="00B27A29">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4.</w:t>
            </w:r>
            <w:r w:rsidRPr="00B27A29">
              <w:rPr>
                <w:rFonts w:eastAsiaTheme="minorEastAsia"/>
                <w:color w:val="000000" w:themeColor="text1"/>
                <w:kern w:val="0"/>
                <w:szCs w:val="21"/>
              </w:rPr>
              <w:t>期末基金资产净值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558,115,169.82</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368,267.57</w:t>
            </w:r>
          </w:p>
        </w:tc>
      </w:tr>
      <w:tr w:rsidR="005E6DF3" w:rsidRPr="00B27A29">
        <w:trPr>
          <w:trHeight w:val="158"/>
        </w:trPr>
        <w:tc>
          <w:tcPr>
            <w:tcW w:w="3402" w:type="dxa"/>
            <w:vAlign w:val="center"/>
          </w:tcPr>
          <w:p w:rsidR="005E6DF3" w:rsidRPr="00B27A29" w:rsidRDefault="005C671B">
            <w:pPr>
              <w:adjustRightInd w:val="0"/>
              <w:spacing w:before="29" w:line="360" w:lineRule="auto"/>
              <w:ind w:left="17"/>
              <w:rPr>
                <w:rFonts w:eastAsiaTheme="minorEastAsia"/>
                <w:color w:val="000000" w:themeColor="text1"/>
                <w:kern w:val="0"/>
                <w:szCs w:val="21"/>
              </w:rPr>
            </w:pPr>
            <w:r w:rsidRPr="00B27A29">
              <w:rPr>
                <w:rFonts w:eastAsiaTheme="minorEastAsia"/>
                <w:color w:val="000000" w:themeColor="text1"/>
                <w:kern w:val="0"/>
                <w:szCs w:val="21"/>
              </w:rPr>
              <w:t>5.</w:t>
            </w:r>
            <w:r w:rsidRPr="00B27A29">
              <w:rPr>
                <w:rFonts w:eastAsiaTheme="minorEastAsia"/>
                <w:color w:val="000000" w:themeColor="text1"/>
                <w:kern w:val="0"/>
                <w:szCs w:val="21"/>
              </w:rPr>
              <w:t>期末基金份额净值</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3.5616</w:t>
            </w:r>
          </w:p>
        </w:tc>
        <w:tc>
          <w:tcPr>
            <w:tcW w:w="2481" w:type="dxa"/>
            <w:vAlign w:val="center"/>
          </w:tcPr>
          <w:p w:rsidR="005E6DF3" w:rsidRPr="00B27A29" w:rsidRDefault="005C671B">
            <w:pPr>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3.5170</w:t>
            </w:r>
          </w:p>
        </w:tc>
      </w:tr>
    </w:tbl>
    <w:p w:rsidR="005279F0" w:rsidRDefault="008827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r>
        <w:rPr>
          <w:rFonts w:eastAsiaTheme="minorEastAsia"/>
          <w:color w:val="000000" w:themeColor="text1"/>
          <w:szCs w:val="21"/>
        </w:rPr>
        <w:t xml:space="preserve"> </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3.2 </w:t>
      </w:r>
      <w:r w:rsidRPr="00B27A29">
        <w:rPr>
          <w:rFonts w:eastAsiaTheme="minorEastAsia"/>
          <w:b/>
          <w:color w:val="000000" w:themeColor="text1"/>
          <w:kern w:val="0"/>
          <w:szCs w:val="21"/>
        </w:rPr>
        <w:t>基金净值表现</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3.2.1</w:t>
      </w:r>
      <w:r w:rsidRPr="00B27A29">
        <w:rPr>
          <w:rFonts w:eastAsiaTheme="minorEastAsia"/>
          <w:b/>
          <w:color w:val="000000" w:themeColor="text1"/>
          <w:kern w:val="0"/>
          <w:szCs w:val="21"/>
        </w:rPr>
        <w:t>本报告期基金份额净值增长率及其与同期业绩比较基准收益率的比较</w:t>
      </w:r>
    </w:p>
    <w:p w:rsidR="005E6DF3" w:rsidRPr="00B27A29" w:rsidRDefault="005C671B">
      <w:pPr>
        <w:spacing w:line="360" w:lineRule="auto"/>
        <w:rPr>
          <w:rFonts w:eastAsiaTheme="minorEastAsia"/>
          <w:b/>
          <w:color w:val="000000" w:themeColor="text1"/>
          <w:szCs w:val="21"/>
        </w:rPr>
      </w:pPr>
      <w:r w:rsidRPr="00B27A29">
        <w:rPr>
          <w:rFonts w:eastAsiaTheme="minorEastAsia"/>
          <w:b/>
          <w:color w:val="000000" w:themeColor="text1"/>
          <w:szCs w:val="21"/>
        </w:rPr>
        <w:t>1</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A</w:t>
      </w:r>
      <w:r w:rsidRPr="00B27A29">
        <w:rPr>
          <w:rFonts w:eastAsiaTheme="minorEastAsia"/>
          <w:b/>
          <w:color w:val="000000" w:themeColor="text1"/>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279F0">
        <w:tc>
          <w:tcPr>
            <w:tcW w:w="1290" w:type="dxa"/>
            <w:vAlign w:val="center"/>
          </w:tcPr>
          <w:p w:rsidR="005279F0" w:rsidRDefault="008827D2">
            <w:pPr>
              <w:jc w:val="left"/>
            </w:pPr>
            <w:r>
              <w:rPr>
                <w:rFonts w:eastAsiaTheme="minorEastAsia"/>
                <w:color w:val="000000" w:themeColor="text1"/>
                <w:szCs w:val="21"/>
              </w:rPr>
              <w:t>过去三个月</w:t>
            </w:r>
          </w:p>
        </w:tc>
        <w:tc>
          <w:tcPr>
            <w:tcW w:w="1291" w:type="dxa"/>
            <w:vAlign w:val="center"/>
          </w:tcPr>
          <w:p w:rsidR="005279F0" w:rsidRDefault="008827D2">
            <w:pPr>
              <w:jc w:val="right"/>
            </w:pPr>
            <w:r>
              <w:rPr>
                <w:rFonts w:eastAsiaTheme="minorEastAsia"/>
                <w:color w:val="000000" w:themeColor="text1"/>
                <w:szCs w:val="21"/>
              </w:rPr>
              <w:t>2.90%</w:t>
            </w:r>
          </w:p>
        </w:tc>
        <w:tc>
          <w:tcPr>
            <w:tcW w:w="1291" w:type="dxa"/>
            <w:vAlign w:val="center"/>
          </w:tcPr>
          <w:p w:rsidR="005279F0" w:rsidRDefault="008827D2">
            <w:pPr>
              <w:jc w:val="right"/>
            </w:pPr>
            <w:r>
              <w:rPr>
                <w:rFonts w:eastAsiaTheme="minorEastAsia"/>
                <w:color w:val="000000" w:themeColor="text1"/>
                <w:szCs w:val="21"/>
              </w:rPr>
              <w:t>1.36%</w:t>
            </w:r>
          </w:p>
        </w:tc>
        <w:tc>
          <w:tcPr>
            <w:tcW w:w="1291" w:type="dxa"/>
            <w:vAlign w:val="center"/>
          </w:tcPr>
          <w:p w:rsidR="005279F0" w:rsidRDefault="008827D2">
            <w:pPr>
              <w:jc w:val="right"/>
            </w:pPr>
            <w:r>
              <w:rPr>
                <w:rFonts w:eastAsiaTheme="minorEastAsia"/>
                <w:color w:val="000000" w:themeColor="text1"/>
                <w:szCs w:val="21"/>
              </w:rPr>
              <w:t>2.93%</w:t>
            </w:r>
          </w:p>
        </w:tc>
        <w:tc>
          <w:tcPr>
            <w:tcW w:w="1291" w:type="dxa"/>
            <w:vAlign w:val="center"/>
          </w:tcPr>
          <w:p w:rsidR="005279F0" w:rsidRDefault="008827D2">
            <w:pPr>
              <w:jc w:val="right"/>
            </w:pPr>
            <w:r>
              <w:rPr>
                <w:rFonts w:eastAsiaTheme="minorEastAsia"/>
                <w:color w:val="000000" w:themeColor="text1"/>
                <w:szCs w:val="21"/>
              </w:rPr>
              <w:t>0.87%</w:t>
            </w:r>
          </w:p>
        </w:tc>
        <w:tc>
          <w:tcPr>
            <w:tcW w:w="1291" w:type="dxa"/>
            <w:vAlign w:val="center"/>
          </w:tcPr>
          <w:p w:rsidR="005279F0" w:rsidRDefault="008827D2">
            <w:pPr>
              <w:jc w:val="right"/>
            </w:pPr>
            <w:r>
              <w:rPr>
                <w:rFonts w:eastAsiaTheme="minorEastAsia"/>
                <w:color w:val="000000" w:themeColor="text1"/>
                <w:szCs w:val="21"/>
              </w:rPr>
              <w:t>-0.03%</w:t>
            </w:r>
          </w:p>
        </w:tc>
        <w:tc>
          <w:tcPr>
            <w:tcW w:w="1291" w:type="dxa"/>
            <w:vAlign w:val="center"/>
          </w:tcPr>
          <w:p w:rsidR="005279F0" w:rsidRDefault="008827D2">
            <w:pPr>
              <w:jc w:val="right"/>
            </w:pPr>
            <w:r>
              <w:rPr>
                <w:rFonts w:eastAsiaTheme="minorEastAsia"/>
                <w:color w:val="000000" w:themeColor="text1"/>
                <w:szCs w:val="21"/>
              </w:rPr>
              <w:t>0.49%</w:t>
            </w:r>
          </w:p>
        </w:tc>
      </w:tr>
      <w:tr w:rsidR="005279F0">
        <w:tc>
          <w:tcPr>
            <w:tcW w:w="1290" w:type="dxa"/>
            <w:vAlign w:val="center"/>
          </w:tcPr>
          <w:p w:rsidR="005279F0" w:rsidRDefault="008827D2">
            <w:pPr>
              <w:jc w:val="left"/>
            </w:pPr>
            <w:r>
              <w:rPr>
                <w:rFonts w:eastAsiaTheme="minorEastAsia"/>
                <w:color w:val="000000" w:themeColor="text1"/>
                <w:szCs w:val="21"/>
              </w:rPr>
              <w:t>过去六个月</w:t>
            </w:r>
          </w:p>
        </w:tc>
        <w:tc>
          <w:tcPr>
            <w:tcW w:w="1291" w:type="dxa"/>
            <w:vAlign w:val="center"/>
          </w:tcPr>
          <w:p w:rsidR="005279F0" w:rsidRDefault="008827D2">
            <w:pPr>
              <w:jc w:val="right"/>
            </w:pPr>
            <w:r>
              <w:rPr>
                <w:rFonts w:eastAsiaTheme="minorEastAsia"/>
                <w:color w:val="000000" w:themeColor="text1"/>
                <w:szCs w:val="21"/>
              </w:rPr>
              <w:t>0.23%</w:t>
            </w:r>
          </w:p>
        </w:tc>
        <w:tc>
          <w:tcPr>
            <w:tcW w:w="1291" w:type="dxa"/>
            <w:vAlign w:val="center"/>
          </w:tcPr>
          <w:p w:rsidR="005279F0" w:rsidRDefault="008827D2">
            <w:pPr>
              <w:jc w:val="right"/>
            </w:pPr>
            <w:r>
              <w:rPr>
                <w:rFonts w:eastAsiaTheme="minorEastAsia"/>
                <w:color w:val="000000" w:themeColor="text1"/>
                <w:szCs w:val="21"/>
              </w:rPr>
              <w:t>1.11%</w:t>
            </w:r>
          </w:p>
        </w:tc>
        <w:tc>
          <w:tcPr>
            <w:tcW w:w="1291" w:type="dxa"/>
            <w:vAlign w:val="center"/>
          </w:tcPr>
          <w:p w:rsidR="005279F0" w:rsidRDefault="008827D2">
            <w:pPr>
              <w:jc w:val="right"/>
            </w:pPr>
            <w:r>
              <w:rPr>
                <w:rFonts w:eastAsiaTheme="minorEastAsia"/>
                <w:color w:val="000000" w:themeColor="text1"/>
                <w:szCs w:val="21"/>
              </w:rPr>
              <w:t>-3.09%</w:t>
            </w:r>
          </w:p>
        </w:tc>
        <w:tc>
          <w:tcPr>
            <w:tcW w:w="1291" w:type="dxa"/>
            <w:vAlign w:val="center"/>
          </w:tcPr>
          <w:p w:rsidR="005279F0" w:rsidRDefault="008827D2">
            <w:pPr>
              <w:jc w:val="right"/>
            </w:pPr>
            <w:r>
              <w:rPr>
                <w:rFonts w:eastAsiaTheme="minorEastAsia"/>
                <w:color w:val="000000" w:themeColor="text1"/>
                <w:szCs w:val="21"/>
              </w:rPr>
              <w:t>0.78%</w:t>
            </w:r>
          </w:p>
        </w:tc>
        <w:tc>
          <w:tcPr>
            <w:tcW w:w="1291" w:type="dxa"/>
            <w:vAlign w:val="center"/>
          </w:tcPr>
          <w:p w:rsidR="005279F0" w:rsidRDefault="008827D2">
            <w:pPr>
              <w:jc w:val="right"/>
            </w:pPr>
            <w:r>
              <w:rPr>
                <w:rFonts w:eastAsiaTheme="minorEastAsia"/>
                <w:color w:val="000000" w:themeColor="text1"/>
                <w:szCs w:val="21"/>
              </w:rPr>
              <w:t>3.32%</w:t>
            </w:r>
          </w:p>
        </w:tc>
        <w:tc>
          <w:tcPr>
            <w:tcW w:w="1291" w:type="dxa"/>
            <w:vAlign w:val="center"/>
          </w:tcPr>
          <w:p w:rsidR="005279F0" w:rsidRDefault="008827D2">
            <w:pPr>
              <w:jc w:val="right"/>
            </w:pPr>
            <w:r>
              <w:rPr>
                <w:rFonts w:eastAsiaTheme="minorEastAsia"/>
                <w:color w:val="000000" w:themeColor="text1"/>
                <w:szCs w:val="21"/>
              </w:rPr>
              <w:t>0.33%</w:t>
            </w:r>
          </w:p>
        </w:tc>
      </w:tr>
      <w:tr w:rsidR="005279F0">
        <w:tc>
          <w:tcPr>
            <w:tcW w:w="1290" w:type="dxa"/>
            <w:vAlign w:val="center"/>
          </w:tcPr>
          <w:p w:rsidR="005279F0" w:rsidRDefault="008827D2">
            <w:pPr>
              <w:jc w:val="left"/>
            </w:pPr>
            <w:r>
              <w:rPr>
                <w:rFonts w:eastAsiaTheme="minorEastAsia"/>
                <w:color w:val="000000" w:themeColor="text1"/>
                <w:szCs w:val="21"/>
              </w:rPr>
              <w:t>过去一年</w:t>
            </w:r>
          </w:p>
        </w:tc>
        <w:tc>
          <w:tcPr>
            <w:tcW w:w="1291" w:type="dxa"/>
            <w:vAlign w:val="center"/>
          </w:tcPr>
          <w:p w:rsidR="005279F0" w:rsidRDefault="008827D2">
            <w:pPr>
              <w:jc w:val="right"/>
            </w:pPr>
            <w:r>
              <w:rPr>
                <w:rFonts w:eastAsiaTheme="minorEastAsia"/>
                <w:color w:val="000000" w:themeColor="text1"/>
                <w:szCs w:val="21"/>
              </w:rPr>
              <w:t>-15.71%</w:t>
            </w:r>
          </w:p>
        </w:tc>
        <w:tc>
          <w:tcPr>
            <w:tcW w:w="1291" w:type="dxa"/>
            <w:vAlign w:val="center"/>
          </w:tcPr>
          <w:p w:rsidR="005279F0" w:rsidRDefault="008827D2">
            <w:pPr>
              <w:jc w:val="right"/>
            </w:pPr>
            <w:r>
              <w:rPr>
                <w:rFonts w:eastAsiaTheme="minorEastAsia"/>
                <w:color w:val="000000" w:themeColor="text1"/>
                <w:szCs w:val="21"/>
              </w:rPr>
              <w:t>1.05%</w:t>
            </w:r>
          </w:p>
        </w:tc>
        <w:tc>
          <w:tcPr>
            <w:tcW w:w="1291" w:type="dxa"/>
            <w:vAlign w:val="center"/>
          </w:tcPr>
          <w:p w:rsidR="005279F0" w:rsidRDefault="008827D2">
            <w:pPr>
              <w:jc w:val="right"/>
            </w:pPr>
            <w:r>
              <w:rPr>
                <w:rFonts w:eastAsiaTheme="minorEastAsia"/>
                <w:color w:val="000000" w:themeColor="text1"/>
                <w:szCs w:val="21"/>
              </w:rPr>
              <w:t>-10.01%</w:t>
            </w:r>
          </w:p>
        </w:tc>
        <w:tc>
          <w:tcPr>
            <w:tcW w:w="1291" w:type="dxa"/>
            <w:vAlign w:val="center"/>
          </w:tcPr>
          <w:p w:rsidR="005279F0" w:rsidRDefault="008827D2">
            <w:pPr>
              <w:jc w:val="right"/>
            </w:pPr>
            <w:r>
              <w:rPr>
                <w:rFonts w:eastAsiaTheme="minorEastAsia"/>
                <w:color w:val="000000" w:themeColor="text1"/>
                <w:szCs w:val="21"/>
              </w:rPr>
              <w:t>0.76%</w:t>
            </w:r>
          </w:p>
        </w:tc>
        <w:tc>
          <w:tcPr>
            <w:tcW w:w="1291" w:type="dxa"/>
            <w:vAlign w:val="center"/>
          </w:tcPr>
          <w:p w:rsidR="005279F0" w:rsidRDefault="008827D2">
            <w:pPr>
              <w:jc w:val="right"/>
            </w:pPr>
            <w:r>
              <w:rPr>
                <w:rFonts w:eastAsiaTheme="minorEastAsia"/>
                <w:color w:val="000000" w:themeColor="text1"/>
                <w:szCs w:val="21"/>
              </w:rPr>
              <w:t>-5.70%</w:t>
            </w:r>
          </w:p>
        </w:tc>
        <w:tc>
          <w:tcPr>
            <w:tcW w:w="1291" w:type="dxa"/>
            <w:vAlign w:val="center"/>
          </w:tcPr>
          <w:p w:rsidR="005279F0" w:rsidRDefault="008827D2">
            <w:pPr>
              <w:jc w:val="right"/>
            </w:pPr>
            <w:r>
              <w:rPr>
                <w:rFonts w:eastAsiaTheme="minorEastAsia"/>
                <w:color w:val="000000" w:themeColor="text1"/>
                <w:szCs w:val="21"/>
              </w:rPr>
              <w:t>0.29%</w:t>
            </w:r>
          </w:p>
        </w:tc>
      </w:tr>
      <w:tr w:rsidR="005279F0">
        <w:tc>
          <w:tcPr>
            <w:tcW w:w="1290" w:type="dxa"/>
            <w:vAlign w:val="center"/>
          </w:tcPr>
          <w:p w:rsidR="005279F0" w:rsidRDefault="008827D2">
            <w:pPr>
              <w:jc w:val="left"/>
            </w:pPr>
            <w:r>
              <w:rPr>
                <w:rFonts w:eastAsiaTheme="minorEastAsia"/>
                <w:color w:val="000000" w:themeColor="text1"/>
                <w:szCs w:val="21"/>
              </w:rPr>
              <w:t>过去三年</w:t>
            </w:r>
          </w:p>
        </w:tc>
        <w:tc>
          <w:tcPr>
            <w:tcW w:w="1291" w:type="dxa"/>
            <w:vAlign w:val="center"/>
          </w:tcPr>
          <w:p w:rsidR="005279F0" w:rsidRDefault="008827D2">
            <w:pPr>
              <w:jc w:val="right"/>
            </w:pPr>
            <w:r>
              <w:rPr>
                <w:rFonts w:eastAsiaTheme="minorEastAsia"/>
                <w:color w:val="000000" w:themeColor="text1"/>
                <w:szCs w:val="21"/>
              </w:rPr>
              <w:t>-31.40%</w:t>
            </w:r>
          </w:p>
        </w:tc>
        <w:tc>
          <w:tcPr>
            <w:tcW w:w="1291" w:type="dxa"/>
            <w:vAlign w:val="center"/>
          </w:tcPr>
          <w:p w:rsidR="005279F0" w:rsidRDefault="008827D2">
            <w:pPr>
              <w:jc w:val="right"/>
            </w:pPr>
            <w:r>
              <w:rPr>
                <w:rFonts w:eastAsiaTheme="minorEastAsia"/>
                <w:color w:val="000000" w:themeColor="text1"/>
                <w:szCs w:val="21"/>
              </w:rPr>
              <w:t>1.39%</w:t>
            </w:r>
          </w:p>
        </w:tc>
        <w:tc>
          <w:tcPr>
            <w:tcW w:w="1291" w:type="dxa"/>
            <w:vAlign w:val="center"/>
          </w:tcPr>
          <w:p w:rsidR="005279F0" w:rsidRDefault="008827D2">
            <w:pPr>
              <w:jc w:val="right"/>
            </w:pPr>
            <w:r>
              <w:rPr>
                <w:rFonts w:eastAsiaTheme="minorEastAsia"/>
                <w:color w:val="000000" w:themeColor="text1"/>
                <w:szCs w:val="21"/>
              </w:rPr>
              <w:t>-23.43%</w:t>
            </w:r>
          </w:p>
        </w:tc>
        <w:tc>
          <w:tcPr>
            <w:tcW w:w="1291" w:type="dxa"/>
            <w:vAlign w:val="center"/>
          </w:tcPr>
          <w:p w:rsidR="005279F0" w:rsidRDefault="008827D2">
            <w:pPr>
              <w:jc w:val="right"/>
            </w:pPr>
            <w:r>
              <w:rPr>
                <w:rFonts w:eastAsiaTheme="minorEastAsia"/>
                <w:color w:val="000000" w:themeColor="text1"/>
                <w:szCs w:val="21"/>
              </w:rPr>
              <w:t>0.90%</w:t>
            </w:r>
          </w:p>
        </w:tc>
        <w:tc>
          <w:tcPr>
            <w:tcW w:w="1291" w:type="dxa"/>
            <w:vAlign w:val="center"/>
          </w:tcPr>
          <w:p w:rsidR="005279F0" w:rsidRDefault="008827D2">
            <w:pPr>
              <w:jc w:val="right"/>
            </w:pPr>
            <w:r>
              <w:rPr>
                <w:rFonts w:eastAsiaTheme="minorEastAsia"/>
                <w:color w:val="000000" w:themeColor="text1"/>
                <w:szCs w:val="21"/>
              </w:rPr>
              <w:t>-7.97%</w:t>
            </w:r>
          </w:p>
        </w:tc>
        <w:tc>
          <w:tcPr>
            <w:tcW w:w="1291" w:type="dxa"/>
            <w:vAlign w:val="center"/>
          </w:tcPr>
          <w:p w:rsidR="005279F0" w:rsidRDefault="008827D2">
            <w:pPr>
              <w:jc w:val="right"/>
            </w:pPr>
            <w:r>
              <w:rPr>
                <w:rFonts w:eastAsiaTheme="minorEastAsia"/>
                <w:color w:val="000000" w:themeColor="text1"/>
                <w:szCs w:val="21"/>
              </w:rPr>
              <w:t>0.49%</w:t>
            </w:r>
          </w:p>
        </w:tc>
      </w:tr>
      <w:tr w:rsidR="005279F0">
        <w:tc>
          <w:tcPr>
            <w:tcW w:w="1290" w:type="dxa"/>
            <w:vAlign w:val="center"/>
          </w:tcPr>
          <w:p w:rsidR="005279F0" w:rsidRDefault="008827D2">
            <w:pPr>
              <w:jc w:val="left"/>
            </w:pPr>
            <w:r>
              <w:rPr>
                <w:rFonts w:eastAsiaTheme="minorEastAsia"/>
                <w:color w:val="000000" w:themeColor="text1"/>
                <w:szCs w:val="21"/>
              </w:rPr>
              <w:t>过去五年</w:t>
            </w:r>
          </w:p>
        </w:tc>
        <w:tc>
          <w:tcPr>
            <w:tcW w:w="1291" w:type="dxa"/>
            <w:vAlign w:val="center"/>
          </w:tcPr>
          <w:p w:rsidR="005279F0" w:rsidRDefault="008827D2">
            <w:pPr>
              <w:jc w:val="right"/>
            </w:pPr>
            <w:r>
              <w:rPr>
                <w:rFonts w:eastAsiaTheme="minorEastAsia"/>
                <w:color w:val="000000" w:themeColor="text1"/>
                <w:szCs w:val="21"/>
              </w:rPr>
              <w:t>52.47%</w:t>
            </w:r>
          </w:p>
        </w:tc>
        <w:tc>
          <w:tcPr>
            <w:tcW w:w="1291" w:type="dxa"/>
            <w:vAlign w:val="center"/>
          </w:tcPr>
          <w:p w:rsidR="005279F0" w:rsidRDefault="008827D2">
            <w:pPr>
              <w:jc w:val="right"/>
            </w:pPr>
            <w:r>
              <w:rPr>
                <w:rFonts w:eastAsiaTheme="minorEastAsia"/>
                <w:color w:val="000000" w:themeColor="text1"/>
                <w:szCs w:val="21"/>
              </w:rPr>
              <w:t>1.55%</w:t>
            </w:r>
          </w:p>
        </w:tc>
        <w:tc>
          <w:tcPr>
            <w:tcW w:w="1291" w:type="dxa"/>
            <w:vAlign w:val="center"/>
          </w:tcPr>
          <w:p w:rsidR="005279F0" w:rsidRDefault="008827D2">
            <w:pPr>
              <w:jc w:val="right"/>
            </w:pPr>
            <w:r>
              <w:rPr>
                <w:rFonts w:eastAsiaTheme="minorEastAsia"/>
                <w:color w:val="000000" w:themeColor="text1"/>
                <w:szCs w:val="21"/>
              </w:rPr>
              <w:t>-4.03%</w:t>
            </w:r>
          </w:p>
        </w:tc>
        <w:tc>
          <w:tcPr>
            <w:tcW w:w="1291" w:type="dxa"/>
            <w:vAlign w:val="center"/>
          </w:tcPr>
          <w:p w:rsidR="005279F0" w:rsidRDefault="008827D2">
            <w:pPr>
              <w:jc w:val="right"/>
            </w:pPr>
            <w:r>
              <w:rPr>
                <w:rFonts w:eastAsiaTheme="minorEastAsia"/>
                <w:color w:val="000000" w:themeColor="text1"/>
                <w:szCs w:val="21"/>
              </w:rPr>
              <w:t>1.00%</w:t>
            </w:r>
          </w:p>
        </w:tc>
        <w:tc>
          <w:tcPr>
            <w:tcW w:w="1291" w:type="dxa"/>
            <w:vAlign w:val="center"/>
          </w:tcPr>
          <w:p w:rsidR="005279F0" w:rsidRDefault="008827D2">
            <w:pPr>
              <w:jc w:val="right"/>
            </w:pPr>
            <w:r>
              <w:rPr>
                <w:rFonts w:eastAsiaTheme="minorEastAsia"/>
                <w:color w:val="000000" w:themeColor="text1"/>
                <w:szCs w:val="21"/>
              </w:rPr>
              <w:t>56.50%</w:t>
            </w:r>
          </w:p>
        </w:tc>
        <w:tc>
          <w:tcPr>
            <w:tcW w:w="1291" w:type="dxa"/>
            <w:vAlign w:val="center"/>
          </w:tcPr>
          <w:p w:rsidR="005279F0" w:rsidRDefault="008827D2">
            <w:pPr>
              <w:jc w:val="right"/>
            </w:pPr>
            <w:r>
              <w:rPr>
                <w:rFonts w:eastAsiaTheme="minorEastAsia"/>
                <w:color w:val="000000" w:themeColor="text1"/>
                <w:szCs w:val="21"/>
              </w:rPr>
              <w:t>0.55%</w:t>
            </w:r>
          </w:p>
        </w:tc>
      </w:tr>
      <w:tr w:rsidR="005279F0">
        <w:tc>
          <w:tcPr>
            <w:tcW w:w="1290" w:type="dxa"/>
            <w:vAlign w:val="center"/>
          </w:tcPr>
          <w:p w:rsidR="005279F0" w:rsidRDefault="008827D2">
            <w:pPr>
              <w:jc w:val="left"/>
            </w:pPr>
            <w:r>
              <w:rPr>
                <w:rFonts w:eastAsiaTheme="minorEastAsia"/>
                <w:color w:val="000000" w:themeColor="text1"/>
                <w:szCs w:val="21"/>
              </w:rPr>
              <w:t>自基金合同生效起至今</w:t>
            </w:r>
          </w:p>
        </w:tc>
        <w:tc>
          <w:tcPr>
            <w:tcW w:w="1291" w:type="dxa"/>
            <w:vAlign w:val="center"/>
          </w:tcPr>
          <w:p w:rsidR="005279F0" w:rsidRDefault="008827D2">
            <w:pPr>
              <w:jc w:val="right"/>
            </w:pPr>
            <w:r>
              <w:rPr>
                <w:rFonts w:eastAsiaTheme="minorEastAsia"/>
                <w:color w:val="000000" w:themeColor="text1"/>
                <w:szCs w:val="21"/>
              </w:rPr>
              <w:t>297.71%</w:t>
            </w:r>
          </w:p>
        </w:tc>
        <w:tc>
          <w:tcPr>
            <w:tcW w:w="1291" w:type="dxa"/>
            <w:vAlign w:val="center"/>
          </w:tcPr>
          <w:p w:rsidR="005279F0" w:rsidRDefault="008827D2">
            <w:pPr>
              <w:jc w:val="right"/>
            </w:pPr>
            <w:r>
              <w:rPr>
                <w:rFonts w:eastAsiaTheme="minorEastAsia"/>
                <w:color w:val="000000" w:themeColor="text1"/>
                <w:szCs w:val="21"/>
              </w:rPr>
              <w:t>1.75%</w:t>
            </w:r>
          </w:p>
        </w:tc>
        <w:tc>
          <w:tcPr>
            <w:tcW w:w="1291" w:type="dxa"/>
            <w:vAlign w:val="center"/>
          </w:tcPr>
          <w:p w:rsidR="005279F0" w:rsidRDefault="008827D2">
            <w:pPr>
              <w:jc w:val="right"/>
            </w:pPr>
            <w:r>
              <w:rPr>
                <w:rFonts w:eastAsiaTheme="minorEastAsia"/>
                <w:color w:val="000000" w:themeColor="text1"/>
                <w:szCs w:val="21"/>
              </w:rPr>
              <w:t>63.07%</w:t>
            </w:r>
          </w:p>
        </w:tc>
        <w:tc>
          <w:tcPr>
            <w:tcW w:w="1291" w:type="dxa"/>
            <w:vAlign w:val="center"/>
          </w:tcPr>
          <w:p w:rsidR="005279F0" w:rsidRDefault="008827D2">
            <w:pPr>
              <w:jc w:val="right"/>
            </w:pPr>
            <w:r>
              <w:rPr>
                <w:rFonts w:eastAsiaTheme="minorEastAsia"/>
                <w:color w:val="000000" w:themeColor="text1"/>
                <w:szCs w:val="21"/>
              </w:rPr>
              <w:t>1.17%</w:t>
            </w:r>
          </w:p>
        </w:tc>
        <w:tc>
          <w:tcPr>
            <w:tcW w:w="1291" w:type="dxa"/>
            <w:vAlign w:val="center"/>
          </w:tcPr>
          <w:p w:rsidR="005279F0" w:rsidRDefault="008827D2">
            <w:pPr>
              <w:jc w:val="right"/>
            </w:pPr>
            <w:r>
              <w:rPr>
                <w:rFonts w:eastAsiaTheme="minorEastAsia"/>
                <w:color w:val="000000" w:themeColor="text1"/>
                <w:szCs w:val="21"/>
              </w:rPr>
              <w:t>234.64%</w:t>
            </w:r>
          </w:p>
        </w:tc>
        <w:tc>
          <w:tcPr>
            <w:tcW w:w="1291" w:type="dxa"/>
            <w:vAlign w:val="center"/>
          </w:tcPr>
          <w:p w:rsidR="005279F0" w:rsidRDefault="008827D2">
            <w:pPr>
              <w:jc w:val="right"/>
            </w:pPr>
            <w:r>
              <w:rPr>
                <w:rFonts w:eastAsiaTheme="minorEastAsia"/>
                <w:color w:val="000000" w:themeColor="text1"/>
                <w:szCs w:val="21"/>
              </w:rPr>
              <w:t>0.58%</w:t>
            </w:r>
          </w:p>
        </w:tc>
      </w:tr>
    </w:tbl>
    <w:p w:rsidR="005E6DF3" w:rsidRPr="00B27A29" w:rsidRDefault="005C671B">
      <w:pPr>
        <w:adjustRightInd w:val="0"/>
        <w:spacing w:beforeLines="100" w:before="312" w:line="360" w:lineRule="auto"/>
        <w:rPr>
          <w:rFonts w:eastAsiaTheme="minorEastAsia"/>
          <w:b/>
          <w:color w:val="000000" w:themeColor="text1"/>
          <w:kern w:val="0"/>
          <w:szCs w:val="21"/>
        </w:rPr>
      </w:pPr>
      <w:r w:rsidRPr="00B27A29">
        <w:rPr>
          <w:rFonts w:eastAsiaTheme="minorEastAsia"/>
          <w:b/>
          <w:color w:val="000000" w:themeColor="text1"/>
          <w:szCs w:val="21"/>
        </w:rPr>
        <w:lastRenderedPageBreak/>
        <w:t>2</w:t>
      </w:r>
      <w:r w:rsidRPr="00B27A29">
        <w:rPr>
          <w:rFonts w:eastAsiaTheme="minorEastAsia"/>
          <w:b/>
          <w:color w:val="000000" w:themeColor="text1"/>
          <w:szCs w:val="21"/>
        </w:rPr>
        <w:t>、</w:t>
      </w:r>
      <w:r w:rsidRPr="00B27A29">
        <w:rPr>
          <w:rFonts w:eastAsiaTheme="minorEastAsia"/>
          <w:b/>
          <w:color w:val="000000" w:themeColor="text1"/>
          <w:kern w:val="0"/>
          <w:szCs w:val="21"/>
        </w:rPr>
        <w:t>摩根核心优选混合</w:t>
      </w:r>
      <w:r w:rsidRPr="00B27A29">
        <w:rPr>
          <w:rFonts w:eastAsiaTheme="minorEastAsia"/>
          <w:b/>
          <w:color w:val="000000" w:themeColor="text1"/>
          <w:kern w:val="0"/>
          <w:szCs w:val="21"/>
        </w:rPr>
        <w:t>C</w:t>
      </w:r>
      <w:r w:rsidRPr="00B27A29">
        <w:rPr>
          <w:rFonts w:eastAsiaTheme="minorEastAsia"/>
          <w:b/>
          <w:color w:val="000000" w:themeColor="text1"/>
          <w:kern w:val="0"/>
          <w:szCs w:val="21"/>
        </w:rPr>
        <w:t>：</w:t>
      </w:r>
    </w:p>
    <w:tbl>
      <w:tblPr>
        <w:tblStyle w:val="afa"/>
        <w:tblW w:w="9036" w:type="dxa"/>
        <w:tblInd w:w="108" w:type="dxa"/>
        <w:tblLayout w:type="fixed"/>
        <w:tblLook w:val="04A0" w:firstRow="1" w:lastRow="0" w:firstColumn="1" w:lastColumn="0" w:noHBand="0" w:noVBand="1"/>
      </w:tblPr>
      <w:tblGrid>
        <w:gridCol w:w="1290"/>
        <w:gridCol w:w="1291"/>
        <w:gridCol w:w="1291"/>
        <w:gridCol w:w="1291"/>
        <w:gridCol w:w="1291"/>
        <w:gridCol w:w="1291"/>
        <w:gridCol w:w="1291"/>
      </w:tblGrid>
      <w:tr w:rsidR="005E6DF3" w:rsidRPr="00B27A29">
        <w:tc>
          <w:tcPr>
            <w:tcW w:w="1290"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阶段</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w:t>
            </w:r>
            <w:r w:rsidRPr="00B27A29">
              <w:rPr>
                <w:rFonts w:ascii="宋体" w:hAnsi="宋体" w:cs="宋体" w:hint="eastAsia"/>
                <w:color w:val="000000" w:themeColor="text1"/>
                <w:szCs w:val="21"/>
              </w:rPr>
              <w:t>①</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highlight w:val="green"/>
              </w:rPr>
            </w:pPr>
            <w:r w:rsidRPr="00B27A29">
              <w:rPr>
                <w:rFonts w:eastAsiaTheme="minorEastAsia"/>
                <w:color w:val="000000" w:themeColor="text1"/>
                <w:szCs w:val="21"/>
              </w:rPr>
              <w:t>净值增长率标准差</w:t>
            </w:r>
            <w:r w:rsidRPr="00B27A29">
              <w:rPr>
                <w:rFonts w:ascii="宋体" w:hAnsi="宋体" w:cs="宋体" w:hint="eastAsia"/>
                <w:color w:val="000000" w:themeColor="text1"/>
                <w:szCs w:val="21"/>
              </w:rPr>
              <w:t>②</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eastAsiaTheme="minorEastAsia"/>
                <w:color w:val="000000" w:themeColor="text1"/>
                <w:szCs w:val="21"/>
              </w:rPr>
              <w:t>业绩比较基准收益率标准差</w:t>
            </w:r>
            <w:r w:rsidRPr="00B27A29">
              <w:rPr>
                <w:rFonts w:ascii="宋体" w:hAnsi="宋体" w:cs="宋体" w:hint="eastAsia"/>
                <w:color w:val="000000" w:themeColor="text1"/>
                <w:szCs w:val="21"/>
              </w:rPr>
              <w:t>④</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①</w:t>
            </w:r>
            <w:r w:rsidRPr="00B27A29">
              <w:rPr>
                <w:rFonts w:eastAsiaTheme="minorEastAsia"/>
                <w:color w:val="000000" w:themeColor="text1"/>
                <w:szCs w:val="21"/>
              </w:rPr>
              <w:t>－</w:t>
            </w:r>
            <w:r w:rsidRPr="00B27A29">
              <w:rPr>
                <w:rFonts w:ascii="宋体" w:hAnsi="宋体" w:cs="宋体" w:hint="eastAsia"/>
                <w:color w:val="000000" w:themeColor="text1"/>
                <w:szCs w:val="21"/>
              </w:rPr>
              <w:t>③</w:t>
            </w:r>
          </w:p>
        </w:tc>
        <w:tc>
          <w:tcPr>
            <w:tcW w:w="1291" w:type="dxa"/>
            <w:vAlign w:val="center"/>
          </w:tcPr>
          <w:p w:rsidR="005E6DF3" w:rsidRPr="00B27A29" w:rsidRDefault="005C671B">
            <w:pPr>
              <w:snapToGrid w:val="0"/>
              <w:spacing w:line="288" w:lineRule="auto"/>
              <w:jc w:val="center"/>
              <w:rPr>
                <w:rFonts w:eastAsiaTheme="minorEastAsia"/>
                <w:color w:val="000000" w:themeColor="text1"/>
                <w:szCs w:val="21"/>
              </w:rPr>
            </w:pPr>
            <w:r w:rsidRPr="00B27A29">
              <w:rPr>
                <w:rFonts w:ascii="宋体" w:hAnsi="宋体" w:cs="宋体" w:hint="eastAsia"/>
                <w:color w:val="000000" w:themeColor="text1"/>
                <w:szCs w:val="21"/>
              </w:rPr>
              <w:t>②</w:t>
            </w:r>
            <w:r w:rsidRPr="00B27A29">
              <w:rPr>
                <w:rFonts w:eastAsiaTheme="minorEastAsia"/>
                <w:color w:val="000000" w:themeColor="text1"/>
                <w:szCs w:val="21"/>
              </w:rPr>
              <w:t>－</w:t>
            </w:r>
            <w:r w:rsidRPr="00B27A29">
              <w:rPr>
                <w:rFonts w:ascii="宋体" w:hAnsi="宋体" w:cs="宋体" w:hint="eastAsia"/>
                <w:color w:val="000000" w:themeColor="text1"/>
                <w:szCs w:val="21"/>
              </w:rPr>
              <w:t>④</w:t>
            </w:r>
          </w:p>
        </w:tc>
      </w:tr>
      <w:tr w:rsidR="005279F0">
        <w:tc>
          <w:tcPr>
            <w:tcW w:w="1290" w:type="dxa"/>
            <w:vAlign w:val="center"/>
          </w:tcPr>
          <w:p w:rsidR="005279F0" w:rsidRDefault="008827D2">
            <w:pPr>
              <w:jc w:val="left"/>
            </w:pPr>
            <w:r>
              <w:rPr>
                <w:rFonts w:eastAsiaTheme="minorEastAsia"/>
                <w:color w:val="000000" w:themeColor="text1"/>
                <w:szCs w:val="21"/>
              </w:rPr>
              <w:t>过去三个月</w:t>
            </w:r>
          </w:p>
        </w:tc>
        <w:tc>
          <w:tcPr>
            <w:tcW w:w="1291" w:type="dxa"/>
            <w:vAlign w:val="center"/>
          </w:tcPr>
          <w:p w:rsidR="005279F0" w:rsidRDefault="008827D2">
            <w:pPr>
              <w:jc w:val="right"/>
            </w:pPr>
            <w:r>
              <w:rPr>
                <w:rFonts w:eastAsiaTheme="minorEastAsia"/>
                <w:color w:val="000000" w:themeColor="text1"/>
                <w:szCs w:val="21"/>
              </w:rPr>
              <w:t>2.76%</w:t>
            </w:r>
          </w:p>
        </w:tc>
        <w:tc>
          <w:tcPr>
            <w:tcW w:w="1291" w:type="dxa"/>
            <w:vAlign w:val="center"/>
          </w:tcPr>
          <w:p w:rsidR="005279F0" w:rsidRDefault="008827D2">
            <w:pPr>
              <w:jc w:val="right"/>
            </w:pPr>
            <w:r>
              <w:rPr>
                <w:rFonts w:eastAsiaTheme="minorEastAsia"/>
                <w:color w:val="000000" w:themeColor="text1"/>
                <w:szCs w:val="21"/>
              </w:rPr>
              <w:t>1.36%</w:t>
            </w:r>
          </w:p>
        </w:tc>
        <w:tc>
          <w:tcPr>
            <w:tcW w:w="1291" w:type="dxa"/>
            <w:vAlign w:val="center"/>
          </w:tcPr>
          <w:p w:rsidR="005279F0" w:rsidRDefault="008827D2">
            <w:pPr>
              <w:jc w:val="right"/>
            </w:pPr>
            <w:r>
              <w:rPr>
                <w:rFonts w:eastAsiaTheme="minorEastAsia"/>
                <w:color w:val="000000" w:themeColor="text1"/>
                <w:szCs w:val="21"/>
              </w:rPr>
              <w:t>2.93%</w:t>
            </w:r>
          </w:p>
        </w:tc>
        <w:tc>
          <w:tcPr>
            <w:tcW w:w="1291" w:type="dxa"/>
            <w:vAlign w:val="center"/>
          </w:tcPr>
          <w:p w:rsidR="005279F0" w:rsidRDefault="008827D2">
            <w:pPr>
              <w:jc w:val="right"/>
            </w:pPr>
            <w:r>
              <w:rPr>
                <w:rFonts w:eastAsiaTheme="minorEastAsia"/>
                <w:color w:val="000000" w:themeColor="text1"/>
                <w:szCs w:val="21"/>
              </w:rPr>
              <w:t>0.87%</w:t>
            </w:r>
          </w:p>
        </w:tc>
        <w:tc>
          <w:tcPr>
            <w:tcW w:w="1291" w:type="dxa"/>
            <w:vAlign w:val="center"/>
          </w:tcPr>
          <w:p w:rsidR="005279F0" w:rsidRDefault="008827D2">
            <w:pPr>
              <w:jc w:val="right"/>
            </w:pPr>
            <w:r>
              <w:rPr>
                <w:rFonts w:eastAsiaTheme="minorEastAsia"/>
                <w:color w:val="000000" w:themeColor="text1"/>
                <w:szCs w:val="21"/>
              </w:rPr>
              <w:t>-0.17%</w:t>
            </w:r>
          </w:p>
        </w:tc>
        <w:tc>
          <w:tcPr>
            <w:tcW w:w="1291" w:type="dxa"/>
            <w:vAlign w:val="center"/>
          </w:tcPr>
          <w:p w:rsidR="005279F0" w:rsidRDefault="008827D2">
            <w:pPr>
              <w:jc w:val="right"/>
            </w:pPr>
            <w:r>
              <w:rPr>
                <w:rFonts w:eastAsiaTheme="minorEastAsia"/>
                <w:color w:val="000000" w:themeColor="text1"/>
                <w:szCs w:val="21"/>
              </w:rPr>
              <w:t>0.49%</w:t>
            </w:r>
          </w:p>
        </w:tc>
      </w:tr>
      <w:tr w:rsidR="005279F0">
        <w:tc>
          <w:tcPr>
            <w:tcW w:w="1290" w:type="dxa"/>
            <w:vAlign w:val="center"/>
          </w:tcPr>
          <w:p w:rsidR="005279F0" w:rsidRDefault="008827D2">
            <w:pPr>
              <w:jc w:val="left"/>
            </w:pPr>
            <w:r>
              <w:rPr>
                <w:rFonts w:eastAsiaTheme="minorEastAsia"/>
                <w:color w:val="000000" w:themeColor="text1"/>
                <w:szCs w:val="21"/>
              </w:rPr>
              <w:t>过去六个月</w:t>
            </w:r>
          </w:p>
        </w:tc>
        <w:tc>
          <w:tcPr>
            <w:tcW w:w="1291" w:type="dxa"/>
            <w:vAlign w:val="center"/>
          </w:tcPr>
          <w:p w:rsidR="005279F0" w:rsidRDefault="008827D2">
            <w:pPr>
              <w:jc w:val="right"/>
            </w:pPr>
            <w:r>
              <w:rPr>
                <w:rFonts w:eastAsiaTheme="minorEastAsia"/>
                <w:color w:val="000000" w:themeColor="text1"/>
                <w:szCs w:val="21"/>
              </w:rPr>
              <w:t>-0.05%</w:t>
            </w:r>
          </w:p>
        </w:tc>
        <w:tc>
          <w:tcPr>
            <w:tcW w:w="1291" w:type="dxa"/>
            <w:vAlign w:val="center"/>
          </w:tcPr>
          <w:p w:rsidR="005279F0" w:rsidRDefault="008827D2">
            <w:pPr>
              <w:jc w:val="right"/>
            </w:pPr>
            <w:r>
              <w:rPr>
                <w:rFonts w:eastAsiaTheme="minorEastAsia"/>
                <w:color w:val="000000" w:themeColor="text1"/>
                <w:szCs w:val="21"/>
              </w:rPr>
              <w:t>1.11%</w:t>
            </w:r>
          </w:p>
        </w:tc>
        <w:tc>
          <w:tcPr>
            <w:tcW w:w="1291" w:type="dxa"/>
            <w:vAlign w:val="center"/>
          </w:tcPr>
          <w:p w:rsidR="005279F0" w:rsidRDefault="008827D2">
            <w:pPr>
              <w:jc w:val="right"/>
            </w:pPr>
            <w:r>
              <w:rPr>
                <w:rFonts w:eastAsiaTheme="minorEastAsia"/>
                <w:color w:val="000000" w:themeColor="text1"/>
                <w:szCs w:val="21"/>
              </w:rPr>
              <w:t>-3.09%</w:t>
            </w:r>
          </w:p>
        </w:tc>
        <w:tc>
          <w:tcPr>
            <w:tcW w:w="1291" w:type="dxa"/>
            <w:vAlign w:val="center"/>
          </w:tcPr>
          <w:p w:rsidR="005279F0" w:rsidRDefault="008827D2">
            <w:pPr>
              <w:jc w:val="right"/>
            </w:pPr>
            <w:r>
              <w:rPr>
                <w:rFonts w:eastAsiaTheme="minorEastAsia"/>
                <w:color w:val="000000" w:themeColor="text1"/>
                <w:szCs w:val="21"/>
              </w:rPr>
              <w:t>0.78%</w:t>
            </w:r>
          </w:p>
        </w:tc>
        <w:tc>
          <w:tcPr>
            <w:tcW w:w="1291" w:type="dxa"/>
            <w:vAlign w:val="center"/>
          </w:tcPr>
          <w:p w:rsidR="005279F0" w:rsidRDefault="008827D2">
            <w:pPr>
              <w:jc w:val="right"/>
            </w:pPr>
            <w:r>
              <w:rPr>
                <w:rFonts w:eastAsiaTheme="minorEastAsia"/>
                <w:color w:val="000000" w:themeColor="text1"/>
                <w:szCs w:val="21"/>
              </w:rPr>
              <w:t>3.04%</w:t>
            </w:r>
          </w:p>
        </w:tc>
        <w:tc>
          <w:tcPr>
            <w:tcW w:w="1291" w:type="dxa"/>
            <w:vAlign w:val="center"/>
          </w:tcPr>
          <w:p w:rsidR="005279F0" w:rsidRDefault="008827D2">
            <w:pPr>
              <w:jc w:val="right"/>
            </w:pPr>
            <w:r>
              <w:rPr>
                <w:rFonts w:eastAsiaTheme="minorEastAsia"/>
                <w:color w:val="000000" w:themeColor="text1"/>
                <w:szCs w:val="21"/>
              </w:rPr>
              <w:t>0.33%</w:t>
            </w:r>
          </w:p>
        </w:tc>
      </w:tr>
      <w:tr w:rsidR="005279F0">
        <w:tc>
          <w:tcPr>
            <w:tcW w:w="1290" w:type="dxa"/>
            <w:vAlign w:val="center"/>
          </w:tcPr>
          <w:p w:rsidR="005279F0" w:rsidRDefault="008827D2">
            <w:pPr>
              <w:jc w:val="left"/>
            </w:pPr>
            <w:r>
              <w:rPr>
                <w:rFonts w:eastAsiaTheme="minorEastAsia"/>
                <w:color w:val="000000" w:themeColor="text1"/>
                <w:szCs w:val="21"/>
              </w:rPr>
              <w:t>过去一年</w:t>
            </w:r>
          </w:p>
        </w:tc>
        <w:tc>
          <w:tcPr>
            <w:tcW w:w="1291" w:type="dxa"/>
            <w:vAlign w:val="center"/>
          </w:tcPr>
          <w:p w:rsidR="005279F0" w:rsidRDefault="008827D2">
            <w:pPr>
              <w:jc w:val="right"/>
            </w:pPr>
            <w:r>
              <w:rPr>
                <w:rFonts w:eastAsiaTheme="minorEastAsia"/>
                <w:color w:val="000000" w:themeColor="text1"/>
                <w:szCs w:val="21"/>
              </w:rPr>
              <w:t>-16.20%</w:t>
            </w:r>
          </w:p>
        </w:tc>
        <w:tc>
          <w:tcPr>
            <w:tcW w:w="1291" w:type="dxa"/>
            <w:vAlign w:val="center"/>
          </w:tcPr>
          <w:p w:rsidR="005279F0" w:rsidRDefault="008827D2">
            <w:pPr>
              <w:jc w:val="right"/>
            </w:pPr>
            <w:r>
              <w:rPr>
                <w:rFonts w:eastAsiaTheme="minorEastAsia"/>
                <w:color w:val="000000" w:themeColor="text1"/>
                <w:szCs w:val="21"/>
              </w:rPr>
              <w:t>1.05%</w:t>
            </w:r>
          </w:p>
        </w:tc>
        <w:tc>
          <w:tcPr>
            <w:tcW w:w="1291" w:type="dxa"/>
            <w:vAlign w:val="center"/>
          </w:tcPr>
          <w:p w:rsidR="005279F0" w:rsidRDefault="008827D2">
            <w:pPr>
              <w:jc w:val="right"/>
            </w:pPr>
            <w:r>
              <w:rPr>
                <w:rFonts w:eastAsiaTheme="minorEastAsia"/>
                <w:color w:val="000000" w:themeColor="text1"/>
                <w:szCs w:val="21"/>
              </w:rPr>
              <w:t>-10.01%</w:t>
            </w:r>
          </w:p>
        </w:tc>
        <w:tc>
          <w:tcPr>
            <w:tcW w:w="1291" w:type="dxa"/>
            <w:vAlign w:val="center"/>
          </w:tcPr>
          <w:p w:rsidR="005279F0" w:rsidRDefault="008827D2">
            <w:pPr>
              <w:jc w:val="right"/>
            </w:pPr>
            <w:r>
              <w:rPr>
                <w:rFonts w:eastAsiaTheme="minorEastAsia"/>
                <w:color w:val="000000" w:themeColor="text1"/>
                <w:szCs w:val="21"/>
              </w:rPr>
              <w:t>0.76%</w:t>
            </w:r>
          </w:p>
        </w:tc>
        <w:tc>
          <w:tcPr>
            <w:tcW w:w="1291" w:type="dxa"/>
            <w:vAlign w:val="center"/>
          </w:tcPr>
          <w:p w:rsidR="005279F0" w:rsidRDefault="008827D2">
            <w:pPr>
              <w:jc w:val="right"/>
            </w:pPr>
            <w:r>
              <w:rPr>
                <w:rFonts w:eastAsiaTheme="minorEastAsia"/>
                <w:color w:val="000000" w:themeColor="text1"/>
                <w:szCs w:val="21"/>
              </w:rPr>
              <w:t>-6.19%</w:t>
            </w:r>
          </w:p>
        </w:tc>
        <w:tc>
          <w:tcPr>
            <w:tcW w:w="1291" w:type="dxa"/>
            <w:vAlign w:val="center"/>
          </w:tcPr>
          <w:p w:rsidR="005279F0" w:rsidRDefault="008827D2">
            <w:pPr>
              <w:jc w:val="right"/>
            </w:pPr>
            <w:r>
              <w:rPr>
                <w:rFonts w:eastAsiaTheme="minorEastAsia"/>
                <w:color w:val="000000" w:themeColor="text1"/>
                <w:szCs w:val="21"/>
              </w:rPr>
              <w:t>0.29%</w:t>
            </w:r>
          </w:p>
        </w:tc>
      </w:tr>
      <w:tr w:rsidR="005279F0">
        <w:tc>
          <w:tcPr>
            <w:tcW w:w="1290" w:type="dxa"/>
            <w:vAlign w:val="center"/>
          </w:tcPr>
          <w:p w:rsidR="005279F0" w:rsidRDefault="008827D2">
            <w:pPr>
              <w:jc w:val="left"/>
            </w:pPr>
            <w:r>
              <w:rPr>
                <w:rFonts w:eastAsiaTheme="minorEastAsia"/>
                <w:color w:val="000000" w:themeColor="text1"/>
                <w:szCs w:val="21"/>
              </w:rPr>
              <w:t>过去三年</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r>
      <w:tr w:rsidR="005279F0">
        <w:tc>
          <w:tcPr>
            <w:tcW w:w="1290" w:type="dxa"/>
            <w:vAlign w:val="center"/>
          </w:tcPr>
          <w:p w:rsidR="005279F0" w:rsidRDefault="008827D2">
            <w:pPr>
              <w:jc w:val="left"/>
            </w:pPr>
            <w:r>
              <w:rPr>
                <w:rFonts w:eastAsiaTheme="minorEastAsia"/>
                <w:color w:val="000000" w:themeColor="text1"/>
                <w:szCs w:val="21"/>
              </w:rPr>
              <w:t>过去五年</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c>
          <w:tcPr>
            <w:tcW w:w="1291" w:type="dxa"/>
            <w:vAlign w:val="center"/>
          </w:tcPr>
          <w:p w:rsidR="005279F0" w:rsidRDefault="008827D2">
            <w:pPr>
              <w:jc w:val="right"/>
            </w:pPr>
            <w:r>
              <w:rPr>
                <w:rFonts w:eastAsiaTheme="minorEastAsia"/>
                <w:color w:val="000000" w:themeColor="text1"/>
                <w:szCs w:val="21"/>
              </w:rPr>
              <w:t>-</w:t>
            </w:r>
          </w:p>
        </w:tc>
      </w:tr>
      <w:tr w:rsidR="005279F0">
        <w:tc>
          <w:tcPr>
            <w:tcW w:w="1290" w:type="dxa"/>
            <w:vAlign w:val="center"/>
          </w:tcPr>
          <w:p w:rsidR="005279F0" w:rsidRDefault="008827D2">
            <w:pPr>
              <w:jc w:val="left"/>
            </w:pPr>
            <w:r>
              <w:rPr>
                <w:rFonts w:eastAsiaTheme="minorEastAsia"/>
                <w:color w:val="000000" w:themeColor="text1"/>
                <w:szCs w:val="21"/>
              </w:rPr>
              <w:t>自基金合同生效起至今</w:t>
            </w:r>
          </w:p>
        </w:tc>
        <w:tc>
          <w:tcPr>
            <w:tcW w:w="1291" w:type="dxa"/>
            <w:vAlign w:val="center"/>
          </w:tcPr>
          <w:p w:rsidR="005279F0" w:rsidRDefault="008827D2">
            <w:pPr>
              <w:jc w:val="right"/>
            </w:pPr>
            <w:r>
              <w:rPr>
                <w:rFonts w:eastAsiaTheme="minorEastAsia"/>
                <w:color w:val="000000" w:themeColor="text1"/>
                <w:szCs w:val="21"/>
              </w:rPr>
              <w:t>-34.33%</w:t>
            </w:r>
          </w:p>
        </w:tc>
        <w:tc>
          <w:tcPr>
            <w:tcW w:w="1291" w:type="dxa"/>
            <w:vAlign w:val="center"/>
          </w:tcPr>
          <w:p w:rsidR="005279F0" w:rsidRDefault="008827D2">
            <w:pPr>
              <w:jc w:val="right"/>
            </w:pPr>
            <w:r>
              <w:rPr>
                <w:rFonts w:eastAsiaTheme="minorEastAsia"/>
                <w:color w:val="000000" w:themeColor="text1"/>
                <w:szCs w:val="21"/>
              </w:rPr>
              <w:t>1.23%</w:t>
            </w:r>
          </w:p>
        </w:tc>
        <w:tc>
          <w:tcPr>
            <w:tcW w:w="1291" w:type="dxa"/>
            <w:vAlign w:val="center"/>
          </w:tcPr>
          <w:p w:rsidR="005279F0" w:rsidRDefault="008827D2">
            <w:pPr>
              <w:jc w:val="right"/>
            </w:pPr>
            <w:r>
              <w:rPr>
                <w:rFonts w:eastAsiaTheme="minorEastAsia"/>
                <w:color w:val="000000" w:themeColor="text1"/>
                <w:szCs w:val="21"/>
              </w:rPr>
              <w:t>-18.86%</w:t>
            </w:r>
          </w:p>
        </w:tc>
        <w:tc>
          <w:tcPr>
            <w:tcW w:w="1291" w:type="dxa"/>
            <w:vAlign w:val="center"/>
          </w:tcPr>
          <w:p w:rsidR="005279F0" w:rsidRDefault="008827D2">
            <w:pPr>
              <w:jc w:val="right"/>
            </w:pPr>
            <w:r>
              <w:rPr>
                <w:rFonts w:eastAsiaTheme="minorEastAsia"/>
                <w:color w:val="000000" w:themeColor="text1"/>
                <w:szCs w:val="21"/>
              </w:rPr>
              <w:t>0.92%</w:t>
            </w:r>
          </w:p>
        </w:tc>
        <w:tc>
          <w:tcPr>
            <w:tcW w:w="1291" w:type="dxa"/>
            <w:vAlign w:val="center"/>
          </w:tcPr>
          <w:p w:rsidR="005279F0" w:rsidRDefault="008827D2">
            <w:pPr>
              <w:jc w:val="right"/>
            </w:pPr>
            <w:r>
              <w:rPr>
                <w:rFonts w:eastAsiaTheme="minorEastAsia"/>
                <w:color w:val="000000" w:themeColor="text1"/>
                <w:szCs w:val="21"/>
              </w:rPr>
              <w:t>-15.47%</w:t>
            </w:r>
          </w:p>
        </w:tc>
        <w:tc>
          <w:tcPr>
            <w:tcW w:w="1291" w:type="dxa"/>
            <w:vAlign w:val="center"/>
          </w:tcPr>
          <w:p w:rsidR="005279F0" w:rsidRDefault="008827D2">
            <w:pPr>
              <w:jc w:val="right"/>
            </w:pPr>
            <w:r>
              <w:rPr>
                <w:rFonts w:eastAsiaTheme="minorEastAsia"/>
                <w:color w:val="000000" w:themeColor="text1"/>
                <w:szCs w:val="21"/>
              </w:rPr>
              <w:t>0.31%</w:t>
            </w:r>
          </w:p>
        </w:tc>
      </w:tr>
    </w:tbl>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3.2.2</w:t>
      </w:r>
      <w:r w:rsidRPr="00B27A29">
        <w:rPr>
          <w:rFonts w:eastAsiaTheme="minorEastAsia"/>
          <w:b/>
          <w:color w:val="000000" w:themeColor="text1"/>
          <w:kern w:val="0"/>
          <w:szCs w:val="21"/>
        </w:rPr>
        <w:t xml:space="preserve">　</w:t>
      </w:r>
      <w:r w:rsidRPr="00B27A29">
        <w:rPr>
          <w:rStyle w:val="af5"/>
          <w:color w:val="000000" w:themeColor="text1"/>
          <w:szCs w:val="21"/>
          <w:shd w:val="clear" w:color="auto" w:fill="FFFFFF"/>
        </w:rPr>
        <w:t>自基金合同生效以来</w:t>
      </w:r>
      <w:r w:rsidRPr="00B27A29">
        <w:rPr>
          <w:rFonts w:eastAsiaTheme="minorEastAsia"/>
          <w:b/>
          <w:color w:val="000000" w:themeColor="text1"/>
          <w:szCs w:val="21"/>
        </w:rPr>
        <w:t>基金累计净值增长率变动及其与同期业绩比较基准收益率变动的比较</w:t>
      </w:r>
    </w:p>
    <w:p w:rsidR="005E6DF3" w:rsidRPr="00B27A29" w:rsidRDefault="005C671B">
      <w:pPr>
        <w:spacing w:line="360" w:lineRule="auto"/>
        <w:jc w:val="center"/>
        <w:rPr>
          <w:rFonts w:eastAsiaTheme="minorEastAsia"/>
          <w:color w:val="000000" w:themeColor="text1"/>
          <w:szCs w:val="21"/>
        </w:rPr>
      </w:pPr>
      <w:r w:rsidRPr="00B27A29">
        <w:rPr>
          <w:rFonts w:eastAsiaTheme="minorEastAsia"/>
          <w:color w:val="000000" w:themeColor="text1"/>
          <w:szCs w:val="21"/>
        </w:rPr>
        <w:t>摩根核心优选混合型证券投资基金</w:t>
      </w:r>
    </w:p>
    <w:p w:rsidR="005E6DF3" w:rsidRPr="00B27A29" w:rsidRDefault="005C671B">
      <w:pPr>
        <w:pStyle w:val="a9"/>
        <w:snapToGrid w:val="0"/>
        <w:spacing w:line="360" w:lineRule="auto"/>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累计净值增长率与业绩比较基准收益率的历史走势对比图</w:t>
      </w:r>
    </w:p>
    <w:p w:rsidR="005E6DF3" w:rsidRPr="00B27A29" w:rsidRDefault="005C671B">
      <w:pPr>
        <w:pStyle w:val="a9"/>
        <w:snapToGrid w:val="0"/>
        <w:spacing w:line="360" w:lineRule="auto"/>
        <w:ind w:firstLine="480"/>
        <w:jc w:val="center"/>
        <w:rPr>
          <w:rFonts w:ascii="Times New Roman" w:eastAsiaTheme="minorEastAsia" w:hAnsi="Times New Roman"/>
          <w:color w:val="000000" w:themeColor="text1"/>
        </w:rPr>
      </w:pPr>
      <w:r w:rsidRPr="00B27A29">
        <w:rPr>
          <w:rFonts w:ascii="Times New Roman" w:eastAsiaTheme="minorEastAsia" w:hAnsi="Times New Roman"/>
          <w:color w:val="000000" w:themeColor="text1"/>
        </w:rPr>
        <w:t>(2012</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11</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28</w:t>
      </w:r>
      <w:r w:rsidRPr="00B27A29">
        <w:rPr>
          <w:rFonts w:ascii="Times New Roman" w:eastAsiaTheme="minorEastAsia" w:hAnsi="Times New Roman"/>
          <w:color w:val="000000" w:themeColor="text1"/>
        </w:rPr>
        <w:t>日至</w:t>
      </w:r>
      <w:r w:rsidRPr="00B27A29">
        <w:rPr>
          <w:rFonts w:ascii="Times New Roman" w:eastAsiaTheme="minorEastAsia" w:hAnsi="Times New Roman"/>
          <w:color w:val="000000" w:themeColor="text1"/>
        </w:rPr>
        <w:t>2024</w:t>
      </w:r>
      <w:r w:rsidRPr="00B27A29">
        <w:rPr>
          <w:rFonts w:ascii="Times New Roman" w:eastAsiaTheme="minorEastAsia" w:hAnsi="Times New Roman"/>
          <w:color w:val="000000" w:themeColor="text1"/>
        </w:rPr>
        <w:t>年</w:t>
      </w:r>
      <w:r w:rsidRPr="00B27A29">
        <w:rPr>
          <w:rFonts w:ascii="Times New Roman" w:eastAsiaTheme="minorEastAsia" w:hAnsi="Times New Roman"/>
          <w:color w:val="000000" w:themeColor="text1"/>
        </w:rPr>
        <w:t>3</w:t>
      </w:r>
      <w:r w:rsidRPr="00B27A29">
        <w:rPr>
          <w:rFonts w:ascii="Times New Roman" w:eastAsiaTheme="minorEastAsia" w:hAnsi="Times New Roman"/>
          <w:color w:val="000000" w:themeColor="text1"/>
        </w:rPr>
        <w:t>月</w:t>
      </w:r>
      <w:r w:rsidRPr="00B27A29">
        <w:rPr>
          <w:rFonts w:ascii="Times New Roman" w:eastAsiaTheme="minorEastAsia" w:hAnsi="Times New Roman"/>
          <w:color w:val="000000" w:themeColor="text1"/>
        </w:rPr>
        <w:t>31</w:t>
      </w:r>
      <w:r w:rsidRPr="00B27A29">
        <w:rPr>
          <w:rFonts w:ascii="Times New Roman" w:eastAsiaTheme="minorEastAsia" w:hAnsi="Times New Roman"/>
          <w:color w:val="000000" w:themeColor="text1"/>
        </w:rPr>
        <w:t>日</w:t>
      </w:r>
      <w:r w:rsidRPr="00B27A29">
        <w:rPr>
          <w:rFonts w:ascii="Times New Roman" w:eastAsiaTheme="minorEastAsia" w:hAnsi="Times New Roman"/>
          <w:color w:val="000000" w:themeColor="text1"/>
        </w:rPr>
        <w:t>)</w:t>
      </w:r>
    </w:p>
    <w:p w:rsidR="005E6DF3" w:rsidRPr="00B27A29" w:rsidRDefault="005C671B">
      <w:pPr>
        <w:snapToGrid w:val="0"/>
        <w:spacing w:line="360" w:lineRule="auto"/>
        <w:rPr>
          <w:rFonts w:eastAsiaTheme="minorEastAsia"/>
          <w:color w:val="000000" w:themeColor="text1"/>
          <w:szCs w:val="21"/>
        </w:rPr>
      </w:pPr>
      <w:r w:rsidRPr="00B27A29">
        <w:rPr>
          <w:rFonts w:eastAsiaTheme="minorEastAsia"/>
          <w:color w:val="000000" w:themeColor="text1"/>
          <w:szCs w:val="21"/>
        </w:rPr>
        <w:t>1</w:t>
      </w:r>
      <w:r w:rsidRPr="00B27A29">
        <w:rPr>
          <w:rFonts w:eastAsiaTheme="minorEastAsia"/>
          <w:color w:val="000000" w:themeColor="text1"/>
          <w:szCs w:val="21"/>
        </w:rPr>
        <w:t>．摩根核心优选混合</w:t>
      </w:r>
      <w:r w:rsidRPr="00B27A29">
        <w:rPr>
          <w:rFonts w:eastAsiaTheme="minorEastAsia"/>
          <w:color w:val="000000" w:themeColor="text1"/>
          <w:szCs w:val="21"/>
        </w:rPr>
        <w:t>A</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drawing>
          <wp:inline distT="0" distB="0" distL="0" distR="0" wp14:anchorId="5E1D8726" wp14:editId="2DD6A0AF">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11</w:t>
      </w:r>
      <w:r>
        <w:rPr>
          <w:rFonts w:eastAsiaTheme="minorEastAsia"/>
          <w:color w:val="000000" w:themeColor="text1"/>
          <w:szCs w:val="21"/>
        </w:rPr>
        <w:t>月</w:t>
      </w:r>
      <w:r>
        <w:rPr>
          <w:rFonts w:eastAsiaTheme="minorEastAsia"/>
          <w:color w:val="000000" w:themeColor="text1"/>
          <w:szCs w:val="21"/>
        </w:rPr>
        <w:t>28</w:t>
      </w:r>
      <w:r>
        <w:rPr>
          <w:rFonts w:eastAsiaTheme="minorEastAsia"/>
          <w:color w:val="000000" w:themeColor="text1"/>
          <w:szCs w:val="21"/>
        </w:rPr>
        <w:t>日，图示的时间段为合同生效日至本报告期末。</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C671B">
      <w:pPr>
        <w:snapToGrid w:val="0"/>
        <w:spacing w:beforeLines="100" w:before="312" w:line="360" w:lineRule="auto"/>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．摩根核心优选混合</w:t>
      </w:r>
      <w:r w:rsidRPr="00B27A29">
        <w:rPr>
          <w:rFonts w:eastAsiaTheme="minorEastAsia"/>
          <w:color w:val="000000" w:themeColor="text1"/>
          <w:szCs w:val="21"/>
        </w:rPr>
        <w:t>C</w:t>
      </w:r>
      <w:r w:rsidRPr="00B27A29">
        <w:rPr>
          <w:rFonts w:eastAsiaTheme="minorEastAsia"/>
          <w:color w:val="000000" w:themeColor="text1"/>
          <w:szCs w:val="21"/>
        </w:rPr>
        <w:t>：</w:t>
      </w:r>
    </w:p>
    <w:p w:rsidR="005E6DF3" w:rsidRPr="00B27A29" w:rsidRDefault="005C671B">
      <w:pPr>
        <w:pStyle w:val="20"/>
        <w:spacing w:line="288" w:lineRule="auto"/>
        <w:ind w:firstLineChars="0" w:firstLine="0"/>
        <w:jc w:val="center"/>
        <w:rPr>
          <w:rFonts w:ascii="Times New Roman" w:eastAsiaTheme="minorEastAsia" w:hAnsi="Times New Roman"/>
          <w:color w:val="000000" w:themeColor="text1"/>
          <w:sz w:val="21"/>
          <w:szCs w:val="21"/>
        </w:rPr>
      </w:pPr>
      <w:r w:rsidRPr="00B27A29">
        <w:rPr>
          <w:rFonts w:ascii="Times New Roman" w:eastAsiaTheme="minorEastAsia" w:hAnsi="Times New Roman"/>
          <w:noProof/>
          <w:color w:val="000000" w:themeColor="text1"/>
          <w:sz w:val="21"/>
          <w:szCs w:val="21"/>
        </w:rPr>
        <w:lastRenderedPageBreak/>
        <w:drawing>
          <wp:inline distT="0" distB="0" distL="0" distR="0" wp14:anchorId="1DDF3849" wp14:editId="177F12C7">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591175" cy="3276600"/>
                    </a:xfrm>
                    <a:prstGeom prst="rect">
                      <a:avLst/>
                    </a:prstGeom>
                    <a:noFill/>
                    <a:ln>
                      <a:noFill/>
                    </a:ln>
                  </pic:spPr>
                </pic:pic>
              </a:graphicData>
            </a:graphic>
          </wp:inline>
        </w:drawing>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注：本基金自</w:t>
      </w:r>
      <w:r>
        <w:rPr>
          <w:rFonts w:eastAsiaTheme="minorEastAsia"/>
          <w:color w:val="000000" w:themeColor="text1"/>
          <w:szCs w:val="21"/>
        </w:rPr>
        <w:t>2022</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8</w:t>
      </w:r>
      <w:r>
        <w:rPr>
          <w:rFonts w:eastAsiaTheme="minorEastAsia"/>
          <w:color w:val="000000" w:themeColor="text1"/>
          <w:szCs w:val="21"/>
        </w:rPr>
        <w:t>日起增加</w:t>
      </w:r>
      <w:r>
        <w:rPr>
          <w:rFonts w:eastAsiaTheme="minorEastAsia"/>
          <w:color w:val="000000" w:themeColor="text1"/>
          <w:szCs w:val="21"/>
        </w:rPr>
        <w:t>C</w:t>
      </w:r>
      <w:r>
        <w:rPr>
          <w:rFonts w:eastAsiaTheme="minorEastAsia"/>
          <w:color w:val="000000" w:themeColor="text1"/>
          <w:szCs w:val="21"/>
        </w:rPr>
        <w:t>类份额，相关数据按实际存续期计算。</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本基金建仓期为本基金合同生效日起</w:t>
      </w:r>
      <w:r w:rsidRPr="00B27A29">
        <w:rPr>
          <w:rFonts w:eastAsiaTheme="minorEastAsia"/>
          <w:color w:val="000000" w:themeColor="text1"/>
          <w:szCs w:val="21"/>
        </w:rPr>
        <w:t>6</w:t>
      </w:r>
      <w:r w:rsidRPr="00B27A29">
        <w:rPr>
          <w:rFonts w:eastAsiaTheme="minorEastAsia"/>
          <w:color w:val="000000" w:themeColor="text1"/>
          <w:szCs w:val="21"/>
        </w:rPr>
        <w:t>个月，建仓期结束时资产配置比例符合本基金基金合同规定。</w:t>
      </w:r>
    </w:p>
    <w:p w:rsidR="005E6DF3" w:rsidRPr="00B27A29" w:rsidRDefault="005E6DF3">
      <w:pPr>
        <w:tabs>
          <w:tab w:val="left" w:pos="1800"/>
        </w:tabs>
        <w:spacing w:line="288" w:lineRule="auto"/>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§4  </w:t>
      </w:r>
      <w:r w:rsidRPr="00B27A29">
        <w:rPr>
          <w:rFonts w:eastAsiaTheme="minorEastAsia"/>
          <w:color w:val="000000" w:themeColor="text1"/>
          <w:kern w:val="0"/>
          <w:sz w:val="21"/>
          <w:szCs w:val="21"/>
        </w:rPr>
        <w:t>管理人报告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4.1 </w:t>
      </w:r>
      <w:r w:rsidRPr="00B27A29">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
        <w:gridCol w:w="930"/>
        <w:gridCol w:w="1210"/>
        <w:gridCol w:w="1309"/>
        <w:gridCol w:w="1254"/>
        <w:gridCol w:w="3276"/>
      </w:tblGrid>
      <w:tr w:rsidR="005E6DF3" w:rsidRPr="00B27A29">
        <w:tc>
          <w:tcPr>
            <w:tcW w:w="952"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姓名</w:t>
            </w:r>
          </w:p>
        </w:tc>
        <w:tc>
          <w:tcPr>
            <w:tcW w:w="930"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职务</w:t>
            </w:r>
          </w:p>
        </w:tc>
        <w:tc>
          <w:tcPr>
            <w:tcW w:w="2519" w:type="dxa"/>
            <w:gridSpan w:val="2"/>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任本基金的基金经理期限</w:t>
            </w:r>
          </w:p>
        </w:tc>
        <w:tc>
          <w:tcPr>
            <w:tcW w:w="1254"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证券从业年限</w:t>
            </w:r>
          </w:p>
        </w:tc>
        <w:tc>
          <w:tcPr>
            <w:tcW w:w="3276" w:type="dxa"/>
            <w:vMerge w:val="restart"/>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说明</w:t>
            </w:r>
          </w:p>
        </w:tc>
      </w:tr>
      <w:tr w:rsidR="005E6DF3" w:rsidRPr="00B27A29">
        <w:tc>
          <w:tcPr>
            <w:tcW w:w="952"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任职日期</w:t>
            </w:r>
          </w:p>
        </w:tc>
        <w:tc>
          <w:tcPr>
            <w:tcW w:w="1309" w:type="dxa"/>
            <w:vAlign w:val="center"/>
          </w:tcPr>
          <w:p w:rsidR="005E6DF3" w:rsidRPr="00B27A29" w:rsidRDefault="005C671B">
            <w:pPr>
              <w:autoSpaceDE w:val="0"/>
              <w:autoSpaceDN w:val="0"/>
              <w:adjustRightInd w:val="0"/>
              <w:spacing w:before="29" w:line="288" w:lineRule="auto"/>
              <w:ind w:left="15"/>
              <w:jc w:val="center"/>
              <w:rPr>
                <w:rFonts w:eastAsiaTheme="minorEastAsia"/>
                <w:color w:val="000000" w:themeColor="text1"/>
                <w:kern w:val="0"/>
                <w:szCs w:val="21"/>
              </w:rPr>
            </w:pPr>
            <w:r w:rsidRPr="00B27A29">
              <w:rPr>
                <w:rFonts w:eastAsiaTheme="minorEastAsia"/>
                <w:color w:val="000000" w:themeColor="text1"/>
                <w:kern w:val="0"/>
                <w:szCs w:val="21"/>
              </w:rPr>
              <w:t>离任日期</w:t>
            </w:r>
          </w:p>
        </w:tc>
        <w:tc>
          <w:tcPr>
            <w:tcW w:w="1254"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5E6DF3" w:rsidRPr="00B27A29" w:rsidRDefault="005E6DF3">
            <w:pPr>
              <w:autoSpaceDE w:val="0"/>
              <w:autoSpaceDN w:val="0"/>
              <w:adjustRightInd w:val="0"/>
              <w:spacing w:before="29" w:line="288" w:lineRule="auto"/>
              <w:ind w:left="15"/>
              <w:jc w:val="center"/>
              <w:rPr>
                <w:rFonts w:eastAsiaTheme="minorEastAsia"/>
                <w:color w:val="000000" w:themeColor="text1"/>
                <w:kern w:val="0"/>
                <w:szCs w:val="21"/>
              </w:rPr>
            </w:pPr>
          </w:p>
        </w:tc>
      </w:tr>
      <w:tr w:rsidR="005279F0">
        <w:tc>
          <w:tcPr>
            <w:tcW w:w="952" w:type="dxa"/>
            <w:vAlign w:val="center"/>
          </w:tcPr>
          <w:p w:rsidR="005279F0" w:rsidRDefault="008827D2">
            <w:pPr>
              <w:jc w:val="center"/>
            </w:pPr>
            <w:r>
              <w:rPr>
                <w:rFonts w:eastAsiaTheme="minorEastAsia"/>
                <w:color w:val="000000" w:themeColor="text1"/>
                <w:szCs w:val="21"/>
              </w:rPr>
              <w:t>倪权生</w:t>
            </w:r>
          </w:p>
        </w:tc>
        <w:tc>
          <w:tcPr>
            <w:tcW w:w="930" w:type="dxa"/>
            <w:vAlign w:val="center"/>
          </w:tcPr>
          <w:p w:rsidR="005279F0" w:rsidRDefault="008827D2">
            <w:pPr>
              <w:jc w:val="center"/>
            </w:pPr>
            <w:r>
              <w:rPr>
                <w:rFonts w:eastAsiaTheme="minorEastAsia"/>
                <w:color w:val="000000" w:themeColor="text1"/>
                <w:szCs w:val="21"/>
              </w:rPr>
              <w:t>本基金基金经理</w:t>
            </w:r>
          </w:p>
        </w:tc>
        <w:tc>
          <w:tcPr>
            <w:tcW w:w="1210" w:type="dxa"/>
            <w:vAlign w:val="center"/>
          </w:tcPr>
          <w:p w:rsidR="005279F0" w:rsidRDefault="008827D2">
            <w:pPr>
              <w:jc w:val="center"/>
            </w:pPr>
            <w:r>
              <w:rPr>
                <w:rFonts w:eastAsiaTheme="minorEastAsia"/>
                <w:color w:val="000000" w:themeColor="text1"/>
                <w:szCs w:val="21"/>
              </w:rPr>
              <w:t>2022-08-18</w:t>
            </w:r>
          </w:p>
        </w:tc>
        <w:tc>
          <w:tcPr>
            <w:tcW w:w="1309" w:type="dxa"/>
            <w:vAlign w:val="center"/>
          </w:tcPr>
          <w:p w:rsidR="005279F0" w:rsidRDefault="008827D2">
            <w:pPr>
              <w:jc w:val="center"/>
            </w:pPr>
            <w:r>
              <w:rPr>
                <w:rFonts w:eastAsiaTheme="minorEastAsia"/>
                <w:color w:val="000000" w:themeColor="text1"/>
                <w:szCs w:val="21"/>
              </w:rPr>
              <w:t>-</w:t>
            </w:r>
          </w:p>
        </w:tc>
        <w:tc>
          <w:tcPr>
            <w:tcW w:w="1254" w:type="dxa"/>
            <w:vAlign w:val="center"/>
          </w:tcPr>
          <w:p w:rsidR="005279F0" w:rsidRDefault="008827D2">
            <w:pPr>
              <w:jc w:val="center"/>
            </w:pPr>
            <w:r>
              <w:rPr>
                <w:rFonts w:eastAsiaTheme="minorEastAsia"/>
                <w:color w:val="000000" w:themeColor="text1"/>
                <w:szCs w:val="21"/>
              </w:rPr>
              <w:t>13</w:t>
            </w:r>
            <w:r>
              <w:rPr>
                <w:rFonts w:eastAsiaTheme="minorEastAsia"/>
                <w:color w:val="000000" w:themeColor="text1"/>
                <w:szCs w:val="21"/>
              </w:rPr>
              <w:t>年</w:t>
            </w:r>
          </w:p>
        </w:tc>
        <w:tc>
          <w:tcPr>
            <w:tcW w:w="3276" w:type="dxa"/>
            <w:vAlign w:val="center"/>
          </w:tcPr>
          <w:p w:rsidR="005279F0" w:rsidRDefault="008827D2">
            <w:r>
              <w:rPr>
                <w:rFonts w:eastAsiaTheme="minorEastAsia"/>
                <w:color w:val="000000" w:themeColor="text1"/>
                <w:szCs w:val="21"/>
              </w:rPr>
              <w:t>倪权生先生曾任博时基金管理有限公司高级研究员，浙商基金管理有限公司投资经理助理、基金经理</w:t>
            </w:r>
            <w:r>
              <w:rPr>
                <w:rFonts w:eastAsiaTheme="minorEastAsia"/>
                <w:color w:val="000000" w:themeColor="text1"/>
                <w:szCs w:val="21"/>
              </w:rPr>
              <w:t>/</w:t>
            </w:r>
            <w:r>
              <w:rPr>
                <w:rFonts w:eastAsiaTheme="minorEastAsia"/>
                <w:color w:val="000000" w:themeColor="text1"/>
                <w:szCs w:val="21"/>
              </w:rPr>
              <w:t>股票投资部副总经理。</w:t>
            </w:r>
            <w:r>
              <w:rPr>
                <w:rFonts w:eastAsiaTheme="minorEastAsia"/>
                <w:color w:val="000000" w:themeColor="text1"/>
                <w:szCs w:val="21"/>
              </w:rPr>
              <w:t>2019</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月起加入摩根基金管理（中国）有限公司（原上投摩根基金管理有限公司），历任领先组副组长兼资深基金经理，现任国内权益投资部均衡组组长兼资深基金经理。</w:t>
            </w:r>
          </w:p>
        </w:tc>
      </w:tr>
    </w:tbl>
    <w:p w:rsidR="005279F0" w:rsidRDefault="008827D2">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1.</w:t>
      </w:r>
      <w:r>
        <w:rPr>
          <w:rFonts w:eastAsiaTheme="minorEastAsia"/>
          <w:color w:val="000000" w:themeColor="text1"/>
          <w:szCs w:val="21"/>
        </w:rPr>
        <w:t>任职日期和离任日期均指根据公司决定确定的聘任日期和解聘日期。</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2.</w:t>
      </w:r>
      <w:r w:rsidRPr="00B27A29">
        <w:rPr>
          <w:rFonts w:eastAsiaTheme="minorEastAsia"/>
          <w:color w:val="000000" w:themeColor="text1"/>
          <w:szCs w:val="21"/>
        </w:rPr>
        <w:t>证券从业的含义遵从行业协会《证券业从业人员资格管理办法》的相关规定。</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lastRenderedPageBreak/>
        <w:t>4.2</w:t>
      </w:r>
      <w:r w:rsidRPr="00B27A29">
        <w:rPr>
          <w:rFonts w:eastAsiaTheme="minorEastAsia"/>
          <w:b/>
          <w:color w:val="000000" w:themeColor="text1"/>
          <w:kern w:val="0"/>
          <w:szCs w:val="21"/>
        </w:rPr>
        <w:t>管理人对报告期内本基金运作遵规守信情况的说明</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本基金基金合同的规定。基金经理对个股和投资组合的比例遵循了投资决策委员会的授权限制，基金投资比例符合基金合同和法律法规的要求。</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4.3 </w:t>
      </w:r>
      <w:r w:rsidRPr="00B27A29">
        <w:rPr>
          <w:rFonts w:eastAsiaTheme="minorEastAsia"/>
          <w:b/>
          <w:color w:val="000000" w:themeColor="text1"/>
          <w:kern w:val="0"/>
          <w:szCs w:val="21"/>
        </w:rPr>
        <w:t>公平交易专项说明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4.3.1 </w:t>
      </w:r>
      <w:r w:rsidRPr="00B27A29">
        <w:rPr>
          <w:rFonts w:eastAsiaTheme="minorEastAsia"/>
          <w:color w:val="000000" w:themeColor="text1"/>
          <w:szCs w:val="21"/>
        </w:rPr>
        <w:t>公平交易制度的执行情况</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w:t>
      </w:r>
      <w:r>
        <w:rPr>
          <w:rFonts w:eastAsiaTheme="minorEastAsia"/>
          <w:color w:val="000000" w:themeColor="text1"/>
          <w:szCs w:val="21"/>
        </w:rPr>
        <w:t>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w:t>
      </w:r>
      <w:r>
        <w:rPr>
          <w:rFonts w:eastAsiaTheme="minorEastAsia"/>
          <w:color w:val="000000" w:themeColor="text1"/>
          <w:szCs w:val="21"/>
        </w:rPr>
        <w:t>，根据事前独立申报的价格和数量对交易结果进行公平分配。</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 xml:space="preserve">4.3.2 </w:t>
      </w:r>
      <w:r w:rsidRPr="00B27A29">
        <w:rPr>
          <w:rFonts w:eastAsiaTheme="minorEastAsia"/>
          <w:color w:val="000000" w:themeColor="text1"/>
          <w:szCs w:val="21"/>
        </w:rPr>
        <w:t>异常交易行为的专项说明</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所有投资组合参与的交易所公开竞价同日反向交易成交较少的单边交易量超过该证券当日成交量的</w:t>
      </w:r>
      <w:r w:rsidRPr="00B27A29">
        <w:rPr>
          <w:rFonts w:eastAsiaTheme="minorEastAsia"/>
          <w:color w:val="000000" w:themeColor="text1"/>
          <w:szCs w:val="21"/>
        </w:rPr>
        <w:t>5%</w:t>
      </w:r>
      <w:r w:rsidRPr="00B27A29">
        <w:rPr>
          <w:rFonts w:eastAsiaTheme="minorEastAsia"/>
          <w:color w:val="000000" w:themeColor="text1"/>
          <w:szCs w:val="21"/>
        </w:rPr>
        <w:t>的情形：无。</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4.4 </w:t>
      </w:r>
      <w:r w:rsidRPr="00B27A29">
        <w:rPr>
          <w:rFonts w:eastAsiaTheme="minorEastAsia"/>
          <w:b/>
          <w:color w:val="000000" w:themeColor="text1"/>
          <w:kern w:val="0"/>
          <w:szCs w:val="21"/>
        </w:rPr>
        <w:t>报告期内基金的投资策略和业绩表现说明</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4.4.1</w:t>
      </w:r>
      <w:r w:rsidRPr="00B27A29">
        <w:rPr>
          <w:rFonts w:eastAsiaTheme="minorEastAsia"/>
          <w:color w:val="000000" w:themeColor="text1"/>
          <w:szCs w:val="21"/>
        </w:rPr>
        <w:t>报告期内基金投资策略和运作分析</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今年市场一季度先抑后扬，前期情绪较为悲观并充分在股价中反应，</w:t>
      </w:r>
      <w:r>
        <w:rPr>
          <w:rFonts w:eastAsiaTheme="minorEastAsia"/>
          <w:color w:val="000000" w:themeColor="text1"/>
          <w:szCs w:val="21"/>
        </w:rPr>
        <w:t>2</w:t>
      </w:r>
      <w:r>
        <w:rPr>
          <w:rFonts w:eastAsiaTheme="minorEastAsia"/>
          <w:color w:val="000000" w:themeColor="text1"/>
          <w:szCs w:val="21"/>
        </w:rPr>
        <w:t>月份市场迎来较为强劲的反弹。从行业来看，以资源为主的上游行业表现较好，这些行业多具备资源属性，同时行业</w:t>
      </w:r>
      <w:r>
        <w:rPr>
          <w:rFonts w:eastAsiaTheme="minorEastAsia"/>
          <w:color w:val="000000" w:themeColor="text1"/>
          <w:szCs w:val="21"/>
        </w:rPr>
        <w:lastRenderedPageBreak/>
        <w:t>资本开支有下降趋势，进而带来现金流的改善，其中相当一部分公司已经具有较高的股息率。而上游相关对应的大宗商品价格由于供给趋紧，同时需求由于海外库存触底以及中国制造业需求好于预期，因而表现也较好，这给上游资源类公司的盈利持续提供保障。医药、计算机、电子、国防军工等行业一季度相对较弱，主要与市场对短期业绩的不确定性担忧有关。</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组合操作层面，延续去年底的</w:t>
      </w:r>
      <w:r>
        <w:rPr>
          <w:rFonts w:eastAsiaTheme="minorEastAsia"/>
          <w:color w:val="000000" w:themeColor="text1"/>
          <w:szCs w:val="21"/>
        </w:rPr>
        <w:t>策略，即在假设总量增长有限的情况下，寻找确定性，这类盈利改善的确定性一部分来源于供给侧的格局改善，也有来源于需求仍有较好增长的细分领域。基于供给侧优化的逻辑，我们重点布局养殖、上游资源、化纤原料等，这些行业过去几年因盈利恶化或政策影响，资本开支受到约束，供给有望收紧，进而带来盈利反转。而在需求端，我们重点关注出口链和算力相关领域。近年来随着中国制造业企业在全球竞争力的提升，制造业出口结构由初级产品向复杂产品提升，如工程机械、电力设备等，在全球基建浪潮中具有提升市场份额的能力。算力方面，随着</w:t>
      </w:r>
      <w:r>
        <w:rPr>
          <w:rFonts w:eastAsiaTheme="minorEastAsia"/>
          <w:color w:val="000000" w:themeColor="text1"/>
          <w:szCs w:val="21"/>
        </w:rPr>
        <w:t>AI</w:t>
      </w:r>
      <w:r>
        <w:rPr>
          <w:rFonts w:eastAsiaTheme="minorEastAsia"/>
          <w:color w:val="000000" w:themeColor="text1"/>
          <w:szCs w:val="21"/>
        </w:rPr>
        <w:t>技术的进步，其</w:t>
      </w:r>
      <w:r>
        <w:rPr>
          <w:rFonts w:eastAsiaTheme="minorEastAsia"/>
          <w:color w:val="000000" w:themeColor="text1"/>
          <w:szCs w:val="21"/>
        </w:rPr>
        <w:t>模型训练和场景应用在国内和海外均处于快速发展中，前期我们认为算力基础设施的受益确定性仍然较强。</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展望后市，我们认为前期悲观情绪得到一定修复，但市场也并未立刻转向非常乐观，估值仍处于相对低位。而</w:t>
      </w:r>
      <w:r w:rsidRPr="00B27A29">
        <w:rPr>
          <w:rFonts w:eastAsiaTheme="minorEastAsia"/>
          <w:color w:val="000000" w:themeColor="text1"/>
          <w:szCs w:val="21"/>
        </w:rPr>
        <w:t>3</w:t>
      </w:r>
      <w:r w:rsidRPr="00B27A29">
        <w:rPr>
          <w:rFonts w:eastAsiaTheme="minorEastAsia"/>
          <w:color w:val="000000" w:themeColor="text1"/>
          <w:szCs w:val="21"/>
        </w:rPr>
        <w:t>月份以来，我们正在看到一些边际的积极变化，如海外库存周期正在由去库存转向补库存，国内宏观指标如</w:t>
      </w:r>
      <w:r w:rsidRPr="00B27A29">
        <w:rPr>
          <w:rFonts w:eastAsiaTheme="minorEastAsia"/>
          <w:color w:val="000000" w:themeColor="text1"/>
          <w:szCs w:val="21"/>
        </w:rPr>
        <w:t>PMI</w:t>
      </w:r>
      <w:r w:rsidRPr="00B27A29">
        <w:rPr>
          <w:rFonts w:eastAsiaTheme="minorEastAsia"/>
          <w:color w:val="000000" w:themeColor="text1"/>
          <w:szCs w:val="21"/>
        </w:rPr>
        <w:t>边际也出现积极变化，这预示着经济有望好于此前预期，这可能会带来在顺经济周期行业以及上游资源品景气的改善。从这些角度来看，市场也有望随着企业盈利的边际改善而修复估值，并存在结构性投资机会。</w:t>
      </w:r>
    </w:p>
    <w:p w:rsidR="005E6DF3" w:rsidRPr="00B27A29" w:rsidRDefault="005C671B">
      <w:pPr>
        <w:spacing w:line="360" w:lineRule="auto"/>
        <w:rPr>
          <w:rFonts w:eastAsiaTheme="minorEastAsia"/>
          <w:color w:val="000000" w:themeColor="text1"/>
          <w:szCs w:val="21"/>
        </w:rPr>
      </w:pPr>
      <w:r w:rsidRPr="00B27A29">
        <w:rPr>
          <w:rFonts w:eastAsiaTheme="minorEastAsia"/>
          <w:color w:val="000000" w:themeColor="text1"/>
          <w:szCs w:val="21"/>
        </w:rPr>
        <w:t>4.4.2</w:t>
      </w:r>
      <w:r w:rsidRPr="00B27A29">
        <w:rPr>
          <w:rFonts w:eastAsiaTheme="minorEastAsia"/>
          <w:color w:val="000000" w:themeColor="text1"/>
          <w:szCs w:val="21"/>
        </w:rPr>
        <w:t>报告期内基金的业绩表现</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本报告期摩根核心优选</w:t>
      </w:r>
      <w:r>
        <w:rPr>
          <w:rFonts w:eastAsiaTheme="minorEastAsia"/>
          <w:color w:val="000000" w:themeColor="text1"/>
          <w:szCs w:val="21"/>
        </w:rPr>
        <w:t>A</w:t>
      </w:r>
      <w:r>
        <w:rPr>
          <w:rFonts w:eastAsiaTheme="minorEastAsia"/>
          <w:color w:val="000000" w:themeColor="text1"/>
          <w:szCs w:val="21"/>
        </w:rPr>
        <w:t>份额净值增长率为</w:t>
      </w:r>
      <w:r>
        <w:rPr>
          <w:rFonts w:eastAsiaTheme="minorEastAsia"/>
          <w:color w:val="000000" w:themeColor="text1"/>
          <w:szCs w:val="21"/>
        </w:rPr>
        <w:t>:2.90%</w:t>
      </w:r>
      <w:r>
        <w:rPr>
          <w:rFonts w:eastAsiaTheme="minorEastAsia"/>
          <w:color w:val="000000" w:themeColor="text1"/>
          <w:szCs w:val="21"/>
        </w:rPr>
        <w:t>，同期业绩比较基准收益率为</w:t>
      </w:r>
      <w:r>
        <w:rPr>
          <w:rFonts w:eastAsiaTheme="minorEastAsia"/>
          <w:color w:val="000000" w:themeColor="text1"/>
          <w:szCs w:val="21"/>
        </w:rPr>
        <w:t>:2.93%</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摩根核心优选</w:t>
      </w:r>
      <w:r w:rsidRPr="00B27A29">
        <w:rPr>
          <w:rFonts w:eastAsiaTheme="minorEastAsia"/>
          <w:color w:val="000000" w:themeColor="text1"/>
          <w:szCs w:val="21"/>
        </w:rPr>
        <w:t>C</w:t>
      </w:r>
      <w:r w:rsidRPr="00B27A29">
        <w:rPr>
          <w:rFonts w:eastAsiaTheme="minorEastAsia"/>
          <w:color w:val="000000" w:themeColor="text1"/>
          <w:szCs w:val="21"/>
        </w:rPr>
        <w:t>份额净值增长率为</w:t>
      </w:r>
      <w:r w:rsidRPr="00B27A29">
        <w:rPr>
          <w:rFonts w:eastAsiaTheme="minorEastAsia"/>
          <w:color w:val="000000" w:themeColor="text1"/>
          <w:szCs w:val="21"/>
        </w:rPr>
        <w:t>:2.76%</w:t>
      </w:r>
      <w:r w:rsidRPr="00B27A29">
        <w:rPr>
          <w:rFonts w:eastAsiaTheme="minorEastAsia"/>
          <w:color w:val="000000" w:themeColor="text1"/>
          <w:szCs w:val="21"/>
        </w:rPr>
        <w:t>，同期业绩比较基准收益率为</w:t>
      </w:r>
      <w:r w:rsidRPr="00B27A29">
        <w:rPr>
          <w:rFonts w:eastAsiaTheme="minorEastAsia"/>
          <w:color w:val="000000" w:themeColor="text1"/>
          <w:szCs w:val="21"/>
        </w:rPr>
        <w:t>:2.93%</w:t>
      </w:r>
      <w:r w:rsidRPr="00B27A29">
        <w:rPr>
          <w:rFonts w:eastAsiaTheme="minorEastAsia"/>
          <w:color w:val="000000" w:themeColor="text1"/>
          <w:szCs w:val="21"/>
        </w:rPr>
        <w:t>。</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spacing w:line="360" w:lineRule="auto"/>
        <w:rPr>
          <w:rFonts w:eastAsiaTheme="minorEastAsia"/>
          <w:color w:val="000000" w:themeColor="text1"/>
          <w:szCs w:val="21"/>
        </w:rPr>
      </w:pPr>
      <w:r w:rsidRPr="00B27A29">
        <w:rPr>
          <w:rFonts w:eastAsiaTheme="minorEastAsia"/>
          <w:b/>
          <w:color w:val="000000" w:themeColor="text1"/>
          <w:kern w:val="0"/>
          <w:szCs w:val="21"/>
        </w:rPr>
        <w:t>4.5</w:t>
      </w:r>
      <w:r w:rsidRPr="00B27A29">
        <w:rPr>
          <w:rFonts w:eastAsiaTheme="minorEastAsia"/>
          <w:b/>
          <w:color w:val="000000" w:themeColor="text1"/>
          <w:kern w:val="0"/>
          <w:szCs w:val="21"/>
        </w:rPr>
        <w:t>报告期内基金持有人数或基金资产净值预警说明</w:t>
      </w:r>
    </w:p>
    <w:p w:rsidR="005E6DF3" w:rsidRPr="00B27A29" w:rsidRDefault="005C671B">
      <w:pPr>
        <w:spacing w:line="360" w:lineRule="auto"/>
        <w:ind w:firstLineChars="200" w:firstLine="420"/>
        <w:rPr>
          <w:rFonts w:eastAsiaTheme="minorEastAsia"/>
          <w:color w:val="000000" w:themeColor="text1"/>
          <w:kern w:val="0"/>
          <w:szCs w:val="21"/>
        </w:rPr>
      </w:pPr>
      <w:r w:rsidRPr="00B27A29">
        <w:rPr>
          <w:rFonts w:eastAsiaTheme="minorEastAsia"/>
          <w:color w:val="000000" w:themeColor="text1"/>
          <w:kern w:val="0"/>
          <w:szCs w:val="21"/>
        </w:rPr>
        <w:t>无。</w:t>
      </w:r>
    </w:p>
    <w:p w:rsidR="005E6DF3" w:rsidRPr="00B27A29" w:rsidRDefault="005E6DF3">
      <w:pPr>
        <w:spacing w:line="360" w:lineRule="auto"/>
        <w:ind w:firstLineChars="200" w:firstLine="420"/>
        <w:rPr>
          <w:rFonts w:eastAsiaTheme="minorEastAsia"/>
          <w:color w:val="000000" w:themeColor="text1"/>
          <w:szCs w:val="21"/>
        </w:rPr>
      </w:pP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§5  </w:t>
      </w:r>
      <w:r w:rsidRPr="00B27A29">
        <w:rPr>
          <w:rFonts w:eastAsiaTheme="minorEastAsia"/>
          <w:color w:val="000000" w:themeColor="text1"/>
          <w:kern w:val="0"/>
          <w:sz w:val="21"/>
          <w:szCs w:val="21"/>
        </w:rPr>
        <w:t>投资组合报告</w:t>
      </w:r>
    </w:p>
    <w:p w:rsidR="005E6DF3" w:rsidRPr="00B27A29" w:rsidRDefault="005C671B">
      <w:pPr>
        <w:autoSpaceDE w:val="0"/>
        <w:autoSpaceDN w:val="0"/>
        <w:adjustRightInd w:val="0"/>
        <w:spacing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5.1 </w:t>
      </w:r>
      <w:r w:rsidRPr="00B27A29">
        <w:rPr>
          <w:rFonts w:eastAsiaTheme="minorEastAsia"/>
          <w:b/>
          <w:color w:val="000000" w:themeColor="text1"/>
          <w:kern w:val="0"/>
          <w:szCs w:val="21"/>
        </w:rPr>
        <w:t>报告期末基金资产组合情况</w:t>
      </w:r>
    </w:p>
    <w:tbl>
      <w:tblPr>
        <w:tblStyle w:val="afa"/>
        <w:tblW w:w="8897" w:type="dxa"/>
        <w:tblInd w:w="108" w:type="dxa"/>
        <w:tblLayout w:type="fixed"/>
        <w:tblLook w:val="04A0" w:firstRow="1" w:lastRow="0" w:firstColumn="1" w:lastColumn="0" w:noHBand="0" w:noVBand="1"/>
      </w:tblPr>
      <w:tblGrid>
        <w:gridCol w:w="720"/>
        <w:gridCol w:w="3357"/>
        <w:gridCol w:w="2977"/>
        <w:gridCol w:w="1843"/>
      </w:tblGrid>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序号</w:t>
            </w:r>
          </w:p>
        </w:tc>
        <w:tc>
          <w:tcPr>
            <w:tcW w:w="335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项目</w:t>
            </w:r>
          </w:p>
        </w:tc>
        <w:tc>
          <w:tcPr>
            <w:tcW w:w="2977"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金额</w:t>
            </w:r>
            <w:r w:rsidRPr="00B27A29">
              <w:rPr>
                <w:rFonts w:eastAsiaTheme="minorEastAsia"/>
                <w:color w:val="000000" w:themeColor="text1"/>
                <w:szCs w:val="21"/>
              </w:rPr>
              <w:t>(</w:t>
            </w:r>
            <w:r w:rsidRPr="00B27A29">
              <w:rPr>
                <w:rFonts w:eastAsiaTheme="minorEastAsia"/>
                <w:color w:val="000000" w:themeColor="text1"/>
                <w:szCs w:val="21"/>
              </w:rPr>
              <w:t>元</w:t>
            </w: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占基金总资产的比例</w:t>
            </w: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lastRenderedPageBreak/>
              <w:t>1</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权益投资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473,225,618.36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84.38</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其中：股票</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473,225,618.36</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84.38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2</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固定收益投资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其中：债券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autoSpaceDE w:val="0"/>
              <w:autoSpaceDN w:val="0"/>
              <w:adjustRightInd w:val="0"/>
              <w:spacing w:before="29" w:line="360" w:lineRule="auto"/>
              <w:ind w:left="17" w:firstLineChars="300" w:firstLine="630"/>
              <w:jc w:val="left"/>
              <w:rPr>
                <w:rFonts w:eastAsiaTheme="minorEastAsia"/>
                <w:color w:val="000000" w:themeColor="text1"/>
                <w:szCs w:val="21"/>
              </w:rPr>
            </w:pPr>
            <w:r w:rsidRPr="00B27A29">
              <w:rPr>
                <w:rFonts w:eastAsiaTheme="minorEastAsia"/>
                <w:color w:val="000000" w:themeColor="text1"/>
                <w:szCs w:val="21"/>
              </w:rPr>
              <w:t>资产支持证券</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3</w:t>
            </w:r>
          </w:p>
        </w:tc>
        <w:tc>
          <w:tcPr>
            <w:tcW w:w="3357" w:type="dxa"/>
          </w:tcPr>
          <w:p w:rsidR="005E6DF3" w:rsidRPr="00B27A29" w:rsidRDefault="005C671B">
            <w:pPr>
              <w:spacing w:before="29" w:line="360" w:lineRule="auto"/>
              <w:ind w:leftChars="50" w:left="105"/>
              <w:rPr>
                <w:rFonts w:eastAsiaTheme="minorEastAsia"/>
                <w:color w:val="000000" w:themeColor="text1"/>
                <w:szCs w:val="21"/>
              </w:rPr>
            </w:pPr>
            <w:r w:rsidRPr="00B27A29">
              <w:rPr>
                <w:rFonts w:eastAsiaTheme="minorEastAsia"/>
                <w:color w:val="000000" w:themeColor="text1"/>
                <w:szCs w:val="21"/>
              </w:rPr>
              <w:t>贵金属投资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4</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金融衍生品投资</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5</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E6DF3">
            <w:pPr>
              <w:spacing w:before="29" w:line="360" w:lineRule="auto"/>
              <w:ind w:left="17"/>
              <w:jc w:val="center"/>
              <w:rPr>
                <w:rFonts w:eastAsiaTheme="minorEastAsia"/>
                <w:color w:val="000000" w:themeColor="text1"/>
                <w:szCs w:val="21"/>
              </w:rPr>
            </w:pP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其中：买断式回购的买入返售金融资产</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6</w:t>
            </w:r>
          </w:p>
        </w:tc>
        <w:tc>
          <w:tcPr>
            <w:tcW w:w="3357" w:type="dxa"/>
            <w:vAlign w:val="center"/>
          </w:tcPr>
          <w:p w:rsidR="005E6DF3" w:rsidRPr="00B27A29" w:rsidRDefault="005C671B">
            <w:pPr>
              <w:spacing w:before="29" w:line="360" w:lineRule="auto"/>
              <w:ind w:left="17"/>
              <w:jc w:val="left"/>
              <w:rPr>
                <w:rFonts w:eastAsiaTheme="minorEastAsia"/>
                <w:color w:val="000000" w:themeColor="text1"/>
                <w:szCs w:val="21"/>
              </w:rPr>
            </w:pPr>
            <w:r w:rsidRPr="00B27A29">
              <w:rPr>
                <w:rFonts w:eastAsiaTheme="minorEastAsia"/>
                <w:color w:val="000000" w:themeColor="text1"/>
                <w:szCs w:val="21"/>
              </w:rPr>
              <w:t>银行存款和结算备付金合计</w:t>
            </w:r>
          </w:p>
        </w:tc>
        <w:tc>
          <w:tcPr>
            <w:tcW w:w="2977"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87,385,460.99</w:t>
            </w:r>
          </w:p>
        </w:tc>
        <w:tc>
          <w:tcPr>
            <w:tcW w:w="1843" w:type="dxa"/>
            <w:vAlign w:val="center"/>
          </w:tcPr>
          <w:p w:rsidR="005E6DF3" w:rsidRPr="00B27A29" w:rsidRDefault="005C671B">
            <w:pPr>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15.58</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7</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其他各项资产</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204,426.47</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0.04</w:t>
            </w:r>
          </w:p>
        </w:tc>
      </w:tr>
      <w:tr w:rsidR="005E6DF3" w:rsidRPr="00B27A29">
        <w:tc>
          <w:tcPr>
            <w:tcW w:w="720" w:type="dxa"/>
            <w:vAlign w:val="center"/>
          </w:tcPr>
          <w:p w:rsidR="005E6DF3" w:rsidRPr="00B27A29" w:rsidRDefault="005C671B">
            <w:pPr>
              <w:spacing w:before="29" w:line="360" w:lineRule="auto"/>
              <w:ind w:left="17"/>
              <w:jc w:val="center"/>
              <w:rPr>
                <w:rFonts w:eastAsiaTheme="minorEastAsia"/>
                <w:color w:val="000000" w:themeColor="text1"/>
                <w:szCs w:val="21"/>
              </w:rPr>
            </w:pPr>
            <w:r w:rsidRPr="00B27A29">
              <w:rPr>
                <w:rFonts w:eastAsiaTheme="minorEastAsia"/>
                <w:color w:val="000000" w:themeColor="text1"/>
                <w:szCs w:val="21"/>
              </w:rPr>
              <w:t>8</w:t>
            </w:r>
          </w:p>
        </w:tc>
        <w:tc>
          <w:tcPr>
            <w:tcW w:w="3357" w:type="dxa"/>
            <w:vAlign w:val="center"/>
          </w:tcPr>
          <w:p w:rsidR="005E6DF3" w:rsidRPr="00B27A29" w:rsidRDefault="005C671B">
            <w:pPr>
              <w:rPr>
                <w:rFonts w:eastAsiaTheme="minorEastAsia"/>
                <w:color w:val="000000" w:themeColor="text1"/>
                <w:szCs w:val="21"/>
              </w:rPr>
            </w:pPr>
            <w:r w:rsidRPr="00B27A29">
              <w:rPr>
                <w:rFonts w:eastAsiaTheme="minorEastAsia"/>
                <w:color w:val="000000" w:themeColor="text1"/>
                <w:szCs w:val="21"/>
              </w:rPr>
              <w:t>合计</w:t>
            </w:r>
          </w:p>
        </w:tc>
        <w:tc>
          <w:tcPr>
            <w:tcW w:w="2977"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560,815,505.82</w:t>
            </w:r>
          </w:p>
        </w:tc>
        <w:tc>
          <w:tcPr>
            <w:tcW w:w="1843" w:type="dxa"/>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100.00</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5.2 </w:t>
      </w:r>
      <w:r w:rsidRPr="00B27A29">
        <w:rPr>
          <w:rFonts w:eastAsiaTheme="minorEastAsia"/>
          <w:b/>
          <w:color w:val="000000" w:themeColor="text1"/>
          <w:kern w:val="0"/>
          <w:szCs w:val="21"/>
        </w:rPr>
        <w:t>报告期末按行业分类的股票投资组合</w:t>
      </w:r>
    </w:p>
    <w:p w:rsidR="005E6DF3" w:rsidRPr="00B27A29" w:rsidRDefault="005C671B">
      <w:pPr>
        <w:rPr>
          <w:b/>
        </w:rPr>
      </w:pPr>
      <w:r w:rsidRPr="00B27A29">
        <w:rPr>
          <w:b/>
        </w:rPr>
        <w:t xml:space="preserve"> </w:t>
      </w:r>
      <w:r w:rsidRPr="00B27A29">
        <w:rPr>
          <w:rFonts w:eastAsiaTheme="minorEastAsia"/>
          <w:b/>
          <w:color w:val="000000" w:themeColor="text1"/>
          <w:kern w:val="0"/>
          <w:szCs w:val="21"/>
        </w:rPr>
        <w:t>5.2.1</w:t>
      </w:r>
      <w:r w:rsidRPr="00B27A29">
        <w:rPr>
          <w:rFonts w:eastAsiaTheme="minorEastAsia"/>
          <w:b/>
          <w:color w:val="000000" w:themeColor="text1"/>
          <w:kern w:val="0"/>
          <w:szCs w:val="21"/>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5E6DF3" w:rsidRPr="00B27A29">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占基金资产净值比例（％）</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22,912,579.88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4.10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66,612,649.22</w:t>
            </w:r>
          </w:p>
          <w:p w:rsidR="005E6DF3" w:rsidRPr="00B27A29" w:rsidRDefault="005E6DF3">
            <w:pPr>
              <w:jc w:val="right"/>
              <w:rPr>
                <w:rFonts w:eastAsiaTheme="minorEastAsia"/>
                <w:color w:val="000000" w:themeColor="text1"/>
                <w:szCs w:val="2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11.93</w:t>
            </w:r>
          </w:p>
          <w:p w:rsidR="005E6DF3" w:rsidRPr="00B27A29" w:rsidRDefault="005E6DF3">
            <w:pPr>
              <w:jc w:val="right"/>
              <w:rPr>
                <w:rFonts w:eastAsiaTheme="minorEastAsia"/>
                <w:color w:val="000000" w:themeColor="text1"/>
                <w:szCs w:val="21"/>
              </w:rPr>
            </w:pP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315,921,341.94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56.57</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15,349,103.10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2.75</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12,291,466.60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2.20</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40,138,477.62</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7.19</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lastRenderedPageBreak/>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adjustRightInd w:val="0"/>
              <w:snapToGrid w:val="0"/>
              <w:spacing w:line="400" w:lineRule="exact"/>
              <w:jc w:val="center"/>
              <w:rPr>
                <w:rFonts w:eastAsiaTheme="minorEastAsia"/>
                <w:color w:val="000000" w:themeColor="text1"/>
                <w:szCs w:val="21"/>
              </w:rPr>
            </w:pPr>
            <w:r w:rsidRPr="00B27A29">
              <w:rPr>
                <w:rFonts w:eastAsiaTheme="minorEastAsia"/>
                <w:color w:val="000000" w:themeColor="text1"/>
                <w:szCs w:val="2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E6DF3">
            <w:pPr>
              <w:adjustRightInd w:val="0"/>
              <w:snapToGrid w:val="0"/>
              <w:spacing w:line="400" w:lineRule="exact"/>
              <w:jc w:val="center"/>
              <w:rPr>
                <w:rFonts w:eastAsiaTheme="minorEastAsia"/>
                <w:color w:val="000000" w:themeColor="text1"/>
                <w:szCs w:val="2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5E6DF3" w:rsidRPr="00B27A29" w:rsidRDefault="005C671B">
            <w:pPr>
              <w:adjustRightInd w:val="0"/>
              <w:snapToGrid w:val="0"/>
              <w:spacing w:line="400" w:lineRule="exact"/>
              <w:rPr>
                <w:rFonts w:eastAsiaTheme="minorEastAsia"/>
                <w:color w:val="000000" w:themeColor="text1"/>
                <w:szCs w:val="21"/>
              </w:rPr>
            </w:pPr>
            <w:r w:rsidRPr="00B27A29">
              <w:rPr>
                <w:rFonts w:eastAsiaTheme="minorEastAsia"/>
                <w:color w:val="000000" w:themeColor="text1"/>
                <w:szCs w:val="2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473,225,618.36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5E6DF3" w:rsidRPr="00B27A29" w:rsidRDefault="005C671B">
            <w:pPr>
              <w:jc w:val="right"/>
              <w:rPr>
                <w:rFonts w:eastAsiaTheme="minorEastAsia"/>
                <w:color w:val="000000" w:themeColor="text1"/>
                <w:szCs w:val="21"/>
              </w:rPr>
            </w:pPr>
            <w:r w:rsidRPr="00B27A29">
              <w:rPr>
                <w:rFonts w:eastAsiaTheme="minorEastAsia"/>
                <w:color w:val="000000" w:themeColor="text1"/>
                <w:szCs w:val="21"/>
              </w:rPr>
              <w:t>84.73</w:t>
            </w:r>
          </w:p>
        </w:tc>
      </w:tr>
    </w:tbl>
    <w:p w:rsidR="00B27A29" w:rsidRPr="00B27A29" w:rsidRDefault="00B27A29" w:rsidP="00B27A29">
      <w:pPr>
        <w:spacing w:line="360" w:lineRule="auto"/>
        <w:rPr>
          <w:rFonts w:eastAsiaTheme="minorEastAsia"/>
          <w:szCs w:val="21"/>
        </w:rPr>
      </w:pPr>
      <w:bookmarkStart w:id="1" w:name="_Hlk73460790"/>
      <w:r w:rsidRPr="00B27A29">
        <w:rPr>
          <w:rFonts w:eastAsiaTheme="minorEastAsia"/>
          <w:b/>
          <w:bCs/>
          <w:kern w:val="0"/>
          <w:szCs w:val="21"/>
        </w:rPr>
        <w:t>5.3</w:t>
      </w:r>
      <w:r w:rsidRPr="00B27A29">
        <w:rPr>
          <w:rFonts w:asciiTheme="minorEastAsia" w:eastAsiaTheme="minorEastAsia" w:hAnsiTheme="minorEastAsia" w:hint="eastAsia"/>
          <w:b/>
          <w:bCs/>
          <w:kern w:val="0"/>
          <w:szCs w:val="21"/>
        </w:rPr>
        <w:t>报告期末按公允价值占基金资产净值比例大小排序的前十名股票投资明细</w:t>
      </w:r>
    </w:p>
    <w:tbl>
      <w:tblPr>
        <w:tblStyle w:val="afa"/>
        <w:tblW w:w="0" w:type="auto"/>
        <w:tblLayout w:type="fixed"/>
        <w:tblLook w:val="04A0" w:firstRow="1" w:lastRow="0" w:firstColumn="1" w:lastColumn="0" w:noHBand="0" w:noVBand="1"/>
      </w:tblPr>
      <w:tblGrid>
        <w:gridCol w:w="817"/>
        <w:gridCol w:w="1276"/>
        <w:gridCol w:w="1701"/>
        <w:gridCol w:w="1276"/>
        <w:gridCol w:w="1842"/>
        <w:gridCol w:w="1616"/>
      </w:tblGrid>
      <w:tr w:rsidR="00B27A29" w:rsidRPr="00B27A29" w:rsidTr="00D913A1">
        <w:tc>
          <w:tcPr>
            <w:tcW w:w="817"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序号</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股票代码</w:t>
            </w:r>
          </w:p>
        </w:tc>
        <w:tc>
          <w:tcPr>
            <w:tcW w:w="1701"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股票名称</w:t>
            </w:r>
          </w:p>
        </w:tc>
        <w:tc>
          <w:tcPr>
            <w:tcW w:w="127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数量</w:t>
            </w:r>
            <w:r w:rsidRPr="00B27A29">
              <w:rPr>
                <w:rFonts w:eastAsiaTheme="minorEastAsia"/>
                <w:kern w:val="0"/>
                <w:szCs w:val="21"/>
              </w:rPr>
              <w:t>(</w:t>
            </w:r>
            <w:r w:rsidRPr="00B27A29">
              <w:rPr>
                <w:rFonts w:eastAsiaTheme="minorEastAsia"/>
                <w:kern w:val="0"/>
                <w:szCs w:val="21"/>
              </w:rPr>
              <w:t>股</w:t>
            </w:r>
            <w:r w:rsidRPr="00B27A29">
              <w:rPr>
                <w:rFonts w:eastAsiaTheme="minorEastAsia"/>
                <w:kern w:val="0"/>
                <w:szCs w:val="21"/>
              </w:rPr>
              <w:t>)</w:t>
            </w:r>
          </w:p>
        </w:tc>
        <w:tc>
          <w:tcPr>
            <w:tcW w:w="1842" w:type="dxa"/>
            <w:vAlign w:val="center"/>
          </w:tcPr>
          <w:p w:rsidR="00B27A29" w:rsidRPr="00B27A29" w:rsidRDefault="00B27A29" w:rsidP="00D913A1">
            <w:pPr>
              <w:autoSpaceDE w:val="0"/>
              <w:autoSpaceDN w:val="0"/>
              <w:adjustRightInd w:val="0"/>
              <w:spacing w:before="29" w:line="360" w:lineRule="auto"/>
              <w:ind w:left="17"/>
              <w:jc w:val="center"/>
              <w:rPr>
                <w:rFonts w:eastAsiaTheme="minorEastAsia"/>
                <w:kern w:val="0"/>
                <w:szCs w:val="21"/>
              </w:rPr>
            </w:pPr>
            <w:r w:rsidRPr="00B27A29">
              <w:rPr>
                <w:rFonts w:eastAsiaTheme="minorEastAsia"/>
                <w:kern w:val="0"/>
                <w:szCs w:val="21"/>
              </w:rPr>
              <w:t>公允价值</w:t>
            </w:r>
            <w:r w:rsidRPr="00B27A29">
              <w:rPr>
                <w:rFonts w:eastAsiaTheme="minorEastAsia"/>
                <w:kern w:val="0"/>
                <w:szCs w:val="21"/>
              </w:rPr>
              <w:t>(</w:t>
            </w:r>
            <w:r w:rsidRPr="00B27A29">
              <w:rPr>
                <w:rFonts w:eastAsiaTheme="minorEastAsia"/>
                <w:kern w:val="0"/>
                <w:szCs w:val="21"/>
              </w:rPr>
              <w:t>元</w:t>
            </w:r>
            <w:r w:rsidRPr="00B27A29">
              <w:rPr>
                <w:rFonts w:eastAsiaTheme="minorEastAsia"/>
                <w:kern w:val="0"/>
                <w:szCs w:val="21"/>
              </w:rPr>
              <w:t>)</w:t>
            </w:r>
          </w:p>
        </w:tc>
        <w:tc>
          <w:tcPr>
            <w:tcW w:w="1616" w:type="dxa"/>
            <w:vAlign w:val="center"/>
          </w:tcPr>
          <w:p w:rsidR="00B27A29" w:rsidRPr="00B27A29" w:rsidRDefault="00B27A29" w:rsidP="00D913A1">
            <w:pPr>
              <w:spacing w:before="29" w:line="360" w:lineRule="auto"/>
              <w:ind w:left="17"/>
              <w:jc w:val="center"/>
              <w:rPr>
                <w:rFonts w:eastAsiaTheme="minorEastAsia"/>
                <w:kern w:val="0"/>
                <w:szCs w:val="21"/>
              </w:rPr>
            </w:pPr>
            <w:r w:rsidRPr="00B27A29">
              <w:rPr>
                <w:rFonts w:eastAsiaTheme="minorEastAsia"/>
                <w:kern w:val="0"/>
                <w:szCs w:val="21"/>
              </w:rPr>
              <w:t>占基金资产净值比例</w:t>
            </w:r>
            <w:r w:rsidRPr="00B27A29">
              <w:rPr>
                <w:rFonts w:eastAsiaTheme="minorEastAsia"/>
                <w:kern w:val="0"/>
                <w:szCs w:val="21"/>
              </w:rPr>
              <w:t>(</w:t>
            </w:r>
            <w:r w:rsidRPr="00B27A29">
              <w:rPr>
                <w:rFonts w:eastAsiaTheme="minorEastAsia"/>
                <w:kern w:val="0"/>
                <w:szCs w:val="21"/>
              </w:rPr>
              <w:t>％</w:t>
            </w:r>
            <w:r w:rsidRPr="00B27A29">
              <w:rPr>
                <w:rFonts w:eastAsiaTheme="minorEastAsia"/>
                <w:kern w:val="0"/>
                <w:szCs w:val="21"/>
              </w:rPr>
              <w:t>)</w:t>
            </w:r>
          </w:p>
        </w:tc>
      </w:tr>
      <w:tr w:rsidR="005279F0">
        <w:tc>
          <w:tcPr>
            <w:tcW w:w="817" w:type="dxa"/>
            <w:vAlign w:val="center"/>
          </w:tcPr>
          <w:p w:rsidR="005279F0" w:rsidRDefault="008827D2">
            <w:pPr>
              <w:jc w:val="center"/>
            </w:pPr>
            <w:r>
              <w:rPr>
                <w:rFonts w:eastAsiaTheme="minorEastAsia"/>
                <w:kern w:val="0"/>
                <w:szCs w:val="21"/>
              </w:rPr>
              <w:t>1</w:t>
            </w:r>
          </w:p>
        </w:tc>
        <w:tc>
          <w:tcPr>
            <w:tcW w:w="1276" w:type="dxa"/>
            <w:vAlign w:val="center"/>
          </w:tcPr>
          <w:p w:rsidR="005279F0" w:rsidRDefault="008827D2">
            <w:pPr>
              <w:jc w:val="center"/>
            </w:pPr>
            <w:r>
              <w:rPr>
                <w:rFonts w:eastAsiaTheme="minorEastAsia"/>
                <w:kern w:val="0"/>
                <w:szCs w:val="21"/>
              </w:rPr>
              <w:t>002236</w:t>
            </w:r>
          </w:p>
        </w:tc>
        <w:tc>
          <w:tcPr>
            <w:tcW w:w="1701" w:type="dxa"/>
            <w:vAlign w:val="center"/>
          </w:tcPr>
          <w:p w:rsidR="005279F0" w:rsidRDefault="008827D2">
            <w:pPr>
              <w:jc w:val="center"/>
            </w:pPr>
            <w:r>
              <w:rPr>
                <w:rFonts w:eastAsiaTheme="minorEastAsia"/>
                <w:kern w:val="0"/>
                <w:szCs w:val="21"/>
              </w:rPr>
              <w:t>大华股份</w:t>
            </w:r>
          </w:p>
        </w:tc>
        <w:tc>
          <w:tcPr>
            <w:tcW w:w="1276" w:type="dxa"/>
            <w:vAlign w:val="center"/>
          </w:tcPr>
          <w:p w:rsidR="005279F0" w:rsidRDefault="008827D2">
            <w:pPr>
              <w:jc w:val="right"/>
            </w:pPr>
            <w:r>
              <w:rPr>
                <w:rFonts w:eastAsiaTheme="minorEastAsia"/>
                <w:kern w:val="0"/>
                <w:szCs w:val="21"/>
              </w:rPr>
              <w:t>1,004,559</w:t>
            </w:r>
          </w:p>
        </w:tc>
        <w:tc>
          <w:tcPr>
            <w:tcW w:w="1842" w:type="dxa"/>
            <w:vAlign w:val="center"/>
          </w:tcPr>
          <w:p w:rsidR="005279F0" w:rsidRDefault="008827D2">
            <w:pPr>
              <w:jc w:val="right"/>
            </w:pPr>
            <w:r>
              <w:rPr>
                <w:rFonts w:eastAsiaTheme="minorEastAsia"/>
                <w:kern w:val="0"/>
                <w:szCs w:val="21"/>
              </w:rPr>
              <w:t>18,986,165.10</w:t>
            </w:r>
          </w:p>
        </w:tc>
        <w:tc>
          <w:tcPr>
            <w:tcW w:w="1616" w:type="dxa"/>
            <w:vAlign w:val="center"/>
          </w:tcPr>
          <w:p w:rsidR="005279F0" w:rsidRDefault="008827D2">
            <w:pPr>
              <w:jc w:val="right"/>
            </w:pPr>
            <w:r>
              <w:rPr>
                <w:rFonts w:eastAsiaTheme="minorEastAsia"/>
                <w:kern w:val="0"/>
                <w:szCs w:val="21"/>
              </w:rPr>
              <w:t>3.40</w:t>
            </w:r>
          </w:p>
        </w:tc>
      </w:tr>
      <w:tr w:rsidR="005279F0">
        <w:tc>
          <w:tcPr>
            <w:tcW w:w="817" w:type="dxa"/>
            <w:vAlign w:val="center"/>
          </w:tcPr>
          <w:p w:rsidR="005279F0" w:rsidRDefault="008827D2">
            <w:pPr>
              <w:jc w:val="center"/>
            </w:pPr>
            <w:r>
              <w:rPr>
                <w:rFonts w:eastAsiaTheme="minorEastAsia"/>
                <w:kern w:val="0"/>
                <w:szCs w:val="21"/>
              </w:rPr>
              <w:t>2</w:t>
            </w:r>
          </w:p>
        </w:tc>
        <w:tc>
          <w:tcPr>
            <w:tcW w:w="1276" w:type="dxa"/>
            <w:vAlign w:val="center"/>
          </w:tcPr>
          <w:p w:rsidR="005279F0" w:rsidRDefault="008827D2">
            <w:pPr>
              <w:jc w:val="center"/>
            </w:pPr>
            <w:r>
              <w:rPr>
                <w:rFonts w:eastAsiaTheme="minorEastAsia"/>
                <w:kern w:val="0"/>
                <w:szCs w:val="21"/>
              </w:rPr>
              <w:t>603477</w:t>
            </w:r>
          </w:p>
        </w:tc>
        <w:tc>
          <w:tcPr>
            <w:tcW w:w="1701" w:type="dxa"/>
            <w:vAlign w:val="center"/>
          </w:tcPr>
          <w:p w:rsidR="005279F0" w:rsidRDefault="008827D2">
            <w:pPr>
              <w:jc w:val="center"/>
            </w:pPr>
            <w:r>
              <w:rPr>
                <w:rFonts w:eastAsiaTheme="minorEastAsia"/>
                <w:kern w:val="0"/>
                <w:szCs w:val="21"/>
              </w:rPr>
              <w:t>巨星农牧</w:t>
            </w:r>
          </w:p>
        </w:tc>
        <w:tc>
          <w:tcPr>
            <w:tcW w:w="1276" w:type="dxa"/>
            <w:vAlign w:val="center"/>
          </w:tcPr>
          <w:p w:rsidR="005279F0" w:rsidRDefault="008827D2">
            <w:pPr>
              <w:jc w:val="right"/>
            </w:pPr>
            <w:r>
              <w:rPr>
                <w:rFonts w:eastAsiaTheme="minorEastAsia"/>
                <w:kern w:val="0"/>
                <w:szCs w:val="21"/>
              </w:rPr>
              <w:t>413,373</w:t>
            </w:r>
          </w:p>
        </w:tc>
        <w:tc>
          <w:tcPr>
            <w:tcW w:w="1842" w:type="dxa"/>
            <w:vAlign w:val="center"/>
          </w:tcPr>
          <w:p w:rsidR="005279F0" w:rsidRDefault="008827D2">
            <w:pPr>
              <w:jc w:val="right"/>
            </w:pPr>
            <w:r>
              <w:rPr>
                <w:rFonts w:eastAsiaTheme="minorEastAsia"/>
                <w:kern w:val="0"/>
                <w:szCs w:val="21"/>
              </w:rPr>
              <w:t>15,112,916.88</w:t>
            </w:r>
          </w:p>
        </w:tc>
        <w:tc>
          <w:tcPr>
            <w:tcW w:w="1616" w:type="dxa"/>
            <w:vAlign w:val="center"/>
          </w:tcPr>
          <w:p w:rsidR="005279F0" w:rsidRDefault="008827D2">
            <w:pPr>
              <w:jc w:val="right"/>
            </w:pPr>
            <w:r>
              <w:rPr>
                <w:rFonts w:eastAsiaTheme="minorEastAsia"/>
                <w:kern w:val="0"/>
                <w:szCs w:val="21"/>
              </w:rPr>
              <w:t>2.71</w:t>
            </w:r>
          </w:p>
        </w:tc>
      </w:tr>
      <w:tr w:rsidR="005279F0">
        <w:tc>
          <w:tcPr>
            <w:tcW w:w="817" w:type="dxa"/>
            <w:vAlign w:val="center"/>
          </w:tcPr>
          <w:p w:rsidR="005279F0" w:rsidRDefault="008827D2">
            <w:pPr>
              <w:jc w:val="center"/>
            </w:pPr>
            <w:r>
              <w:rPr>
                <w:rFonts w:eastAsiaTheme="minorEastAsia"/>
                <w:kern w:val="0"/>
                <w:szCs w:val="21"/>
              </w:rPr>
              <w:t>3</w:t>
            </w:r>
          </w:p>
        </w:tc>
        <w:tc>
          <w:tcPr>
            <w:tcW w:w="1276" w:type="dxa"/>
            <w:vAlign w:val="center"/>
          </w:tcPr>
          <w:p w:rsidR="005279F0" w:rsidRDefault="008827D2">
            <w:pPr>
              <w:jc w:val="center"/>
            </w:pPr>
            <w:r>
              <w:rPr>
                <w:rFonts w:eastAsiaTheme="minorEastAsia"/>
                <w:kern w:val="0"/>
                <w:szCs w:val="21"/>
              </w:rPr>
              <w:t>002270</w:t>
            </w:r>
          </w:p>
        </w:tc>
        <w:tc>
          <w:tcPr>
            <w:tcW w:w="1701" w:type="dxa"/>
            <w:vAlign w:val="center"/>
          </w:tcPr>
          <w:p w:rsidR="005279F0" w:rsidRDefault="008827D2">
            <w:pPr>
              <w:jc w:val="center"/>
            </w:pPr>
            <w:r>
              <w:rPr>
                <w:rFonts w:eastAsiaTheme="minorEastAsia"/>
                <w:kern w:val="0"/>
                <w:szCs w:val="21"/>
              </w:rPr>
              <w:t>华明装备</w:t>
            </w:r>
          </w:p>
        </w:tc>
        <w:tc>
          <w:tcPr>
            <w:tcW w:w="1276" w:type="dxa"/>
            <w:vAlign w:val="center"/>
          </w:tcPr>
          <w:p w:rsidR="005279F0" w:rsidRDefault="008827D2">
            <w:pPr>
              <w:jc w:val="right"/>
            </w:pPr>
            <w:r>
              <w:rPr>
                <w:rFonts w:eastAsiaTheme="minorEastAsia"/>
                <w:kern w:val="0"/>
                <w:szCs w:val="21"/>
              </w:rPr>
              <w:t>826,387</w:t>
            </w:r>
          </w:p>
        </w:tc>
        <w:tc>
          <w:tcPr>
            <w:tcW w:w="1842" w:type="dxa"/>
            <w:vAlign w:val="center"/>
          </w:tcPr>
          <w:p w:rsidR="005279F0" w:rsidRDefault="008827D2">
            <w:pPr>
              <w:jc w:val="right"/>
            </w:pPr>
            <w:r>
              <w:rPr>
                <w:rFonts w:eastAsiaTheme="minorEastAsia"/>
                <w:kern w:val="0"/>
                <w:szCs w:val="21"/>
              </w:rPr>
              <w:t>14,998,924.05</w:t>
            </w:r>
          </w:p>
        </w:tc>
        <w:tc>
          <w:tcPr>
            <w:tcW w:w="1616" w:type="dxa"/>
            <w:vAlign w:val="center"/>
          </w:tcPr>
          <w:p w:rsidR="005279F0" w:rsidRDefault="008827D2">
            <w:pPr>
              <w:jc w:val="right"/>
            </w:pPr>
            <w:r>
              <w:rPr>
                <w:rFonts w:eastAsiaTheme="minorEastAsia"/>
                <w:kern w:val="0"/>
                <w:szCs w:val="21"/>
              </w:rPr>
              <w:t>2.69</w:t>
            </w:r>
          </w:p>
        </w:tc>
      </w:tr>
      <w:tr w:rsidR="005279F0">
        <w:tc>
          <w:tcPr>
            <w:tcW w:w="817" w:type="dxa"/>
            <w:vAlign w:val="center"/>
          </w:tcPr>
          <w:p w:rsidR="005279F0" w:rsidRDefault="008827D2">
            <w:pPr>
              <w:jc w:val="center"/>
            </w:pPr>
            <w:r>
              <w:rPr>
                <w:rFonts w:eastAsiaTheme="minorEastAsia"/>
                <w:kern w:val="0"/>
                <w:szCs w:val="21"/>
              </w:rPr>
              <w:t>4</w:t>
            </w:r>
          </w:p>
        </w:tc>
        <w:tc>
          <w:tcPr>
            <w:tcW w:w="1276" w:type="dxa"/>
            <w:vAlign w:val="center"/>
          </w:tcPr>
          <w:p w:rsidR="005279F0" w:rsidRDefault="008827D2">
            <w:pPr>
              <w:jc w:val="center"/>
            </w:pPr>
            <w:r>
              <w:rPr>
                <w:rFonts w:eastAsiaTheme="minorEastAsia"/>
                <w:kern w:val="0"/>
                <w:szCs w:val="21"/>
              </w:rPr>
              <w:t>002028</w:t>
            </w:r>
          </w:p>
        </w:tc>
        <w:tc>
          <w:tcPr>
            <w:tcW w:w="1701" w:type="dxa"/>
            <w:vAlign w:val="center"/>
          </w:tcPr>
          <w:p w:rsidR="005279F0" w:rsidRDefault="008827D2">
            <w:pPr>
              <w:jc w:val="center"/>
            </w:pPr>
            <w:r>
              <w:rPr>
                <w:rFonts w:eastAsiaTheme="minorEastAsia"/>
                <w:kern w:val="0"/>
                <w:szCs w:val="21"/>
              </w:rPr>
              <w:t>思源电气</w:t>
            </w:r>
          </w:p>
        </w:tc>
        <w:tc>
          <w:tcPr>
            <w:tcW w:w="1276" w:type="dxa"/>
            <w:vAlign w:val="center"/>
          </w:tcPr>
          <w:p w:rsidR="005279F0" w:rsidRDefault="008827D2">
            <w:pPr>
              <w:jc w:val="right"/>
            </w:pPr>
            <w:r>
              <w:rPr>
                <w:rFonts w:eastAsiaTheme="minorEastAsia"/>
                <w:kern w:val="0"/>
                <w:szCs w:val="21"/>
              </w:rPr>
              <w:t>241,513</w:t>
            </w:r>
          </w:p>
        </w:tc>
        <w:tc>
          <w:tcPr>
            <w:tcW w:w="1842" w:type="dxa"/>
            <w:vAlign w:val="center"/>
          </w:tcPr>
          <w:p w:rsidR="005279F0" w:rsidRDefault="008827D2">
            <w:pPr>
              <w:jc w:val="right"/>
            </w:pPr>
            <w:r>
              <w:rPr>
                <w:rFonts w:eastAsiaTheme="minorEastAsia"/>
                <w:kern w:val="0"/>
                <w:szCs w:val="21"/>
              </w:rPr>
              <w:t>14,406,250.45</w:t>
            </w:r>
          </w:p>
        </w:tc>
        <w:tc>
          <w:tcPr>
            <w:tcW w:w="1616" w:type="dxa"/>
            <w:vAlign w:val="center"/>
          </w:tcPr>
          <w:p w:rsidR="005279F0" w:rsidRDefault="008827D2">
            <w:pPr>
              <w:jc w:val="right"/>
            </w:pPr>
            <w:r>
              <w:rPr>
                <w:rFonts w:eastAsiaTheme="minorEastAsia"/>
                <w:kern w:val="0"/>
                <w:szCs w:val="21"/>
              </w:rPr>
              <w:t>2.58</w:t>
            </w:r>
          </w:p>
        </w:tc>
      </w:tr>
      <w:tr w:rsidR="005279F0">
        <w:tc>
          <w:tcPr>
            <w:tcW w:w="817" w:type="dxa"/>
            <w:vAlign w:val="center"/>
          </w:tcPr>
          <w:p w:rsidR="005279F0" w:rsidRDefault="008827D2">
            <w:pPr>
              <w:jc w:val="center"/>
            </w:pPr>
            <w:r>
              <w:rPr>
                <w:rFonts w:eastAsiaTheme="minorEastAsia"/>
                <w:kern w:val="0"/>
                <w:szCs w:val="21"/>
              </w:rPr>
              <w:t>5</w:t>
            </w:r>
          </w:p>
        </w:tc>
        <w:tc>
          <w:tcPr>
            <w:tcW w:w="1276" w:type="dxa"/>
            <w:vAlign w:val="center"/>
          </w:tcPr>
          <w:p w:rsidR="005279F0" w:rsidRDefault="008827D2">
            <w:pPr>
              <w:jc w:val="center"/>
            </w:pPr>
            <w:r>
              <w:rPr>
                <w:rFonts w:eastAsiaTheme="minorEastAsia"/>
                <w:kern w:val="0"/>
                <w:szCs w:val="21"/>
              </w:rPr>
              <w:t>601899</w:t>
            </w:r>
          </w:p>
        </w:tc>
        <w:tc>
          <w:tcPr>
            <w:tcW w:w="1701" w:type="dxa"/>
            <w:vAlign w:val="center"/>
          </w:tcPr>
          <w:p w:rsidR="005279F0" w:rsidRDefault="008827D2">
            <w:pPr>
              <w:jc w:val="center"/>
            </w:pPr>
            <w:r>
              <w:rPr>
                <w:rFonts w:eastAsiaTheme="minorEastAsia"/>
                <w:kern w:val="0"/>
                <w:szCs w:val="21"/>
              </w:rPr>
              <w:t>紫金矿业</w:t>
            </w:r>
          </w:p>
        </w:tc>
        <w:tc>
          <w:tcPr>
            <w:tcW w:w="1276" w:type="dxa"/>
            <w:vAlign w:val="center"/>
          </w:tcPr>
          <w:p w:rsidR="005279F0" w:rsidRDefault="008827D2">
            <w:pPr>
              <w:jc w:val="right"/>
            </w:pPr>
            <w:r>
              <w:rPr>
                <w:rFonts w:eastAsiaTheme="minorEastAsia"/>
                <w:kern w:val="0"/>
                <w:szCs w:val="21"/>
              </w:rPr>
              <w:t>798,400</w:t>
            </w:r>
          </w:p>
        </w:tc>
        <w:tc>
          <w:tcPr>
            <w:tcW w:w="1842" w:type="dxa"/>
            <w:vAlign w:val="center"/>
          </w:tcPr>
          <w:p w:rsidR="005279F0" w:rsidRDefault="008827D2">
            <w:pPr>
              <w:jc w:val="right"/>
            </w:pPr>
            <w:r>
              <w:rPr>
                <w:rFonts w:eastAsiaTheme="minorEastAsia"/>
                <w:kern w:val="0"/>
                <w:szCs w:val="21"/>
              </w:rPr>
              <w:t>13,429,088.00</w:t>
            </w:r>
          </w:p>
        </w:tc>
        <w:tc>
          <w:tcPr>
            <w:tcW w:w="1616" w:type="dxa"/>
            <w:vAlign w:val="center"/>
          </w:tcPr>
          <w:p w:rsidR="005279F0" w:rsidRDefault="008827D2">
            <w:pPr>
              <w:jc w:val="right"/>
            </w:pPr>
            <w:r>
              <w:rPr>
                <w:rFonts w:eastAsiaTheme="minorEastAsia"/>
                <w:kern w:val="0"/>
                <w:szCs w:val="21"/>
              </w:rPr>
              <w:t>2.40</w:t>
            </w:r>
          </w:p>
        </w:tc>
      </w:tr>
      <w:tr w:rsidR="005279F0">
        <w:tc>
          <w:tcPr>
            <w:tcW w:w="817" w:type="dxa"/>
            <w:vAlign w:val="center"/>
          </w:tcPr>
          <w:p w:rsidR="005279F0" w:rsidRDefault="008827D2">
            <w:pPr>
              <w:jc w:val="center"/>
            </w:pPr>
            <w:r>
              <w:rPr>
                <w:rFonts w:eastAsiaTheme="minorEastAsia"/>
                <w:kern w:val="0"/>
                <w:szCs w:val="21"/>
              </w:rPr>
              <w:t>6</w:t>
            </w:r>
          </w:p>
        </w:tc>
        <w:tc>
          <w:tcPr>
            <w:tcW w:w="1276" w:type="dxa"/>
            <w:vAlign w:val="center"/>
          </w:tcPr>
          <w:p w:rsidR="005279F0" w:rsidRDefault="008827D2">
            <w:pPr>
              <w:jc w:val="center"/>
            </w:pPr>
            <w:r>
              <w:rPr>
                <w:rFonts w:eastAsiaTheme="minorEastAsia"/>
                <w:kern w:val="0"/>
                <w:szCs w:val="21"/>
              </w:rPr>
              <w:t>300308</w:t>
            </w:r>
          </w:p>
        </w:tc>
        <w:tc>
          <w:tcPr>
            <w:tcW w:w="1701" w:type="dxa"/>
            <w:vAlign w:val="center"/>
          </w:tcPr>
          <w:p w:rsidR="005279F0" w:rsidRDefault="008827D2">
            <w:pPr>
              <w:jc w:val="center"/>
            </w:pPr>
            <w:r>
              <w:rPr>
                <w:rFonts w:eastAsiaTheme="minorEastAsia"/>
                <w:kern w:val="0"/>
                <w:szCs w:val="21"/>
              </w:rPr>
              <w:t>中际旭创</w:t>
            </w:r>
          </w:p>
        </w:tc>
        <w:tc>
          <w:tcPr>
            <w:tcW w:w="1276" w:type="dxa"/>
            <w:vAlign w:val="center"/>
          </w:tcPr>
          <w:p w:rsidR="005279F0" w:rsidRDefault="008827D2">
            <w:pPr>
              <w:jc w:val="right"/>
            </w:pPr>
            <w:r>
              <w:rPr>
                <w:rFonts w:eastAsiaTheme="minorEastAsia"/>
                <w:kern w:val="0"/>
                <w:szCs w:val="21"/>
              </w:rPr>
              <w:t>85,379</w:t>
            </w:r>
          </w:p>
        </w:tc>
        <w:tc>
          <w:tcPr>
            <w:tcW w:w="1842" w:type="dxa"/>
            <w:vAlign w:val="center"/>
          </w:tcPr>
          <w:p w:rsidR="005279F0" w:rsidRDefault="008827D2">
            <w:pPr>
              <w:jc w:val="right"/>
            </w:pPr>
            <w:r>
              <w:rPr>
                <w:rFonts w:eastAsiaTheme="minorEastAsia"/>
                <w:kern w:val="0"/>
                <w:szCs w:val="21"/>
              </w:rPr>
              <w:t>13,366,936.24</w:t>
            </w:r>
          </w:p>
        </w:tc>
        <w:tc>
          <w:tcPr>
            <w:tcW w:w="1616" w:type="dxa"/>
            <w:vAlign w:val="center"/>
          </w:tcPr>
          <w:p w:rsidR="005279F0" w:rsidRDefault="008827D2">
            <w:pPr>
              <w:jc w:val="right"/>
            </w:pPr>
            <w:r>
              <w:rPr>
                <w:rFonts w:eastAsiaTheme="minorEastAsia"/>
                <w:kern w:val="0"/>
                <w:szCs w:val="21"/>
              </w:rPr>
              <w:t>2.39</w:t>
            </w:r>
          </w:p>
        </w:tc>
      </w:tr>
      <w:tr w:rsidR="005279F0">
        <w:tc>
          <w:tcPr>
            <w:tcW w:w="817" w:type="dxa"/>
            <w:vAlign w:val="center"/>
          </w:tcPr>
          <w:p w:rsidR="005279F0" w:rsidRDefault="008827D2">
            <w:pPr>
              <w:jc w:val="center"/>
            </w:pPr>
            <w:r>
              <w:rPr>
                <w:rFonts w:eastAsiaTheme="minorEastAsia"/>
                <w:kern w:val="0"/>
                <w:szCs w:val="21"/>
              </w:rPr>
              <w:t>7</w:t>
            </w:r>
          </w:p>
        </w:tc>
        <w:tc>
          <w:tcPr>
            <w:tcW w:w="1276" w:type="dxa"/>
            <w:vAlign w:val="center"/>
          </w:tcPr>
          <w:p w:rsidR="005279F0" w:rsidRDefault="008827D2">
            <w:pPr>
              <w:jc w:val="center"/>
            </w:pPr>
            <w:r>
              <w:rPr>
                <w:rFonts w:eastAsiaTheme="minorEastAsia"/>
                <w:kern w:val="0"/>
                <w:szCs w:val="21"/>
              </w:rPr>
              <w:t>688100</w:t>
            </w:r>
          </w:p>
        </w:tc>
        <w:tc>
          <w:tcPr>
            <w:tcW w:w="1701" w:type="dxa"/>
            <w:vAlign w:val="center"/>
          </w:tcPr>
          <w:p w:rsidR="005279F0" w:rsidRDefault="008827D2">
            <w:pPr>
              <w:jc w:val="center"/>
            </w:pPr>
            <w:r>
              <w:rPr>
                <w:rFonts w:eastAsiaTheme="minorEastAsia"/>
                <w:kern w:val="0"/>
                <w:szCs w:val="21"/>
              </w:rPr>
              <w:t>威胜信息</w:t>
            </w:r>
          </w:p>
        </w:tc>
        <w:tc>
          <w:tcPr>
            <w:tcW w:w="1276" w:type="dxa"/>
            <w:vAlign w:val="center"/>
          </w:tcPr>
          <w:p w:rsidR="005279F0" w:rsidRDefault="008827D2">
            <w:pPr>
              <w:jc w:val="right"/>
            </w:pPr>
            <w:r>
              <w:rPr>
                <w:rFonts w:eastAsiaTheme="minorEastAsia"/>
                <w:kern w:val="0"/>
                <w:szCs w:val="21"/>
              </w:rPr>
              <w:t>382,660</w:t>
            </w:r>
          </w:p>
        </w:tc>
        <w:tc>
          <w:tcPr>
            <w:tcW w:w="1842" w:type="dxa"/>
            <w:vAlign w:val="center"/>
          </w:tcPr>
          <w:p w:rsidR="005279F0" w:rsidRDefault="008827D2">
            <w:pPr>
              <w:jc w:val="right"/>
            </w:pPr>
            <w:r>
              <w:rPr>
                <w:rFonts w:eastAsiaTheme="minorEastAsia"/>
                <w:kern w:val="0"/>
                <w:szCs w:val="21"/>
              </w:rPr>
              <w:t>13,240,036.00</w:t>
            </w:r>
          </w:p>
        </w:tc>
        <w:tc>
          <w:tcPr>
            <w:tcW w:w="1616" w:type="dxa"/>
            <w:vAlign w:val="center"/>
          </w:tcPr>
          <w:p w:rsidR="005279F0" w:rsidRDefault="008827D2">
            <w:pPr>
              <w:jc w:val="right"/>
            </w:pPr>
            <w:r>
              <w:rPr>
                <w:rFonts w:eastAsiaTheme="minorEastAsia"/>
                <w:kern w:val="0"/>
                <w:szCs w:val="21"/>
              </w:rPr>
              <w:t>2.37</w:t>
            </w:r>
          </w:p>
        </w:tc>
      </w:tr>
      <w:tr w:rsidR="005279F0">
        <w:tc>
          <w:tcPr>
            <w:tcW w:w="817" w:type="dxa"/>
            <w:vAlign w:val="center"/>
          </w:tcPr>
          <w:p w:rsidR="005279F0" w:rsidRDefault="008827D2">
            <w:pPr>
              <w:jc w:val="center"/>
            </w:pPr>
            <w:r>
              <w:rPr>
                <w:rFonts w:eastAsiaTheme="minorEastAsia"/>
                <w:kern w:val="0"/>
                <w:szCs w:val="21"/>
              </w:rPr>
              <w:t>8</w:t>
            </w:r>
          </w:p>
        </w:tc>
        <w:tc>
          <w:tcPr>
            <w:tcW w:w="1276" w:type="dxa"/>
            <w:vAlign w:val="center"/>
          </w:tcPr>
          <w:p w:rsidR="005279F0" w:rsidRDefault="008827D2">
            <w:pPr>
              <w:jc w:val="center"/>
            </w:pPr>
            <w:r>
              <w:rPr>
                <w:rFonts w:eastAsiaTheme="minorEastAsia"/>
                <w:kern w:val="0"/>
                <w:szCs w:val="21"/>
              </w:rPr>
              <w:t>603806</w:t>
            </w:r>
          </w:p>
        </w:tc>
        <w:tc>
          <w:tcPr>
            <w:tcW w:w="1701" w:type="dxa"/>
            <w:vAlign w:val="center"/>
          </w:tcPr>
          <w:p w:rsidR="005279F0" w:rsidRDefault="008827D2">
            <w:pPr>
              <w:jc w:val="center"/>
            </w:pPr>
            <w:r>
              <w:rPr>
                <w:rFonts w:eastAsiaTheme="minorEastAsia"/>
                <w:kern w:val="0"/>
                <w:szCs w:val="21"/>
              </w:rPr>
              <w:t>福斯特</w:t>
            </w:r>
          </w:p>
        </w:tc>
        <w:tc>
          <w:tcPr>
            <w:tcW w:w="1276" w:type="dxa"/>
            <w:vAlign w:val="center"/>
          </w:tcPr>
          <w:p w:rsidR="005279F0" w:rsidRDefault="008827D2">
            <w:pPr>
              <w:jc w:val="right"/>
            </w:pPr>
            <w:r>
              <w:rPr>
                <w:rFonts w:eastAsiaTheme="minorEastAsia"/>
                <w:kern w:val="0"/>
                <w:szCs w:val="21"/>
              </w:rPr>
              <w:t>454,241</w:t>
            </w:r>
          </w:p>
        </w:tc>
        <w:tc>
          <w:tcPr>
            <w:tcW w:w="1842" w:type="dxa"/>
            <w:vAlign w:val="center"/>
          </w:tcPr>
          <w:p w:rsidR="005279F0" w:rsidRDefault="008827D2">
            <w:pPr>
              <w:jc w:val="right"/>
            </w:pPr>
            <w:r>
              <w:rPr>
                <w:rFonts w:eastAsiaTheme="minorEastAsia"/>
                <w:kern w:val="0"/>
                <w:szCs w:val="21"/>
              </w:rPr>
              <w:t>12,904,986.81</w:t>
            </w:r>
          </w:p>
        </w:tc>
        <w:tc>
          <w:tcPr>
            <w:tcW w:w="1616" w:type="dxa"/>
            <w:vAlign w:val="center"/>
          </w:tcPr>
          <w:p w:rsidR="005279F0" w:rsidRDefault="008827D2">
            <w:pPr>
              <w:jc w:val="right"/>
            </w:pPr>
            <w:r>
              <w:rPr>
                <w:rFonts w:eastAsiaTheme="minorEastAsia"/>
                <w:kern w:val="0"/>
                <w:szCs w:val="21"/>
              </w:rPr>
              <w:t>2.31</w:t>
            </w:r>
          </w:p>
        </w:tc>
      </w:tr>
      <w:tr w:rsidR="005279F0">
        <w:tc>
          <w:tcPr>
            <w:tcW w:w="817" w:type="dxa"/>
            <w:vAlign w:val="center"/>
          </w:tcPr>
          <w:p w:rsidR="005279F0" w:rsidRDefault="008827D2">
            <w:pPr>
              <w:jc w:val="center"/>
            </w:pPr>
            <w:r>
              <w:rPr>
                <w:rFonts w:eastAsiaTheme="minorEastAsia"/>
                <w:kern w:val="0"/>
                <w:szCs w:val="21"/>
              </w:rPr>
              <w:t>9</w:t>
            </w:r>
          </w:p>
        </w:tc>
        <w:tc>
          <w:tcPr>
            <w:tcW w:w="1276" w:type="dxa"/>
            <w:vAlign w:val="center"/>
          </w:tcPr>
          <w:p w:rsidR="005279F0" w:rsidRDefault="008827D2">
            <w:pPr>
              <w:jc w:val="center"/>
            </w:pPr>
            <w:r>
              <w:rPr>
                <w:rFonts w:eastAsiaTheme="minorEastAsia"/>
                <w:kern w:val="0"/>
                <w:szCs w:val="21"/>
              </w:rPr>
              <w:t>688676</w:t>
            </w:r>
          </w:p>
        </w:tc>
        <w:tc>
          <w:tcPr>
            <w:tcW w:w="1701" w:type="dxa"/>
            <w:vAlign w:val="center"/>
          </w:tcPr>
          <w:p w:rsidR="005279F0" w:rsidRDefault="008827D2">
            <w:pPr>
              <w:jc w:val="center"/>
            </w:pPr>
            <w:r>
              <w:rPr>
                <w:rFonts w:eastAsiaTheme="minorEastAsia"/>
                <w:kern w:val="0"/>
                <w:szCs w:val="21"/>
              </w:rPr>
              <w:t>金盘科技</w:t>
            </w:r>
          </w:p>
        </w:tc>
        <w:tc>
          <w:tcPr>
            <w:tcW w:w="1276" w:type="dxa"/>
            <w:vAlign w:val="center"/>
          </w:tcPr>
          <w:p w:rsidR="005279F0" w:rsidRDefault="008827D2">
            <w:pPr>
              <w:jc w:val="right"/>
            </w:pPr>
            <w:r>
              <w:rPr>
                <w:rFonts w:eastAsiaTheme="minorEastAsia"/>
                <w:kern w:val="0"/>
                <w:szCs w:val="21"/>
              </w:rPr>
              <w:t>322,386</w:t>
            </w:r>
          </w:p>
        </w:tc>
        <w:tc>
          <w:tcPr>
            <w:tcW w:w="1842" w:type="dxa"/>
            <w:vAlign w:val="center"/>
          </w:tcPr>
          <w:p w:rsidR="005279F0" w:rsidRDefault="008827D2">
            <w:pPr>
              <w:jc w:val="right"/>
            </w:pPr>
            <w:r>
              <w:rPr>
                <w:rFonts w:eastAsiaTheme="minorEastAsia"/>
                <w:kern w:val="0"/>
                <w:szCs w:val="21"/>
              </w:rPr>
              <w:t>12,756,814.02</w:t>
            </w:r>
          </w:p>
        </w:tc>
        <w:tc>
          <w:tcPr>
            <w:tcW w:w="1616" w:type="dxa"/>
            <w:vAlign w:val="center"/>
          </w:tcPr>
          <w:p w:rsidR="005279F0" w:rsidRDefault="008827D2">
            <w:pPr>
              <w:jc w:val="right"/>
            </w:pPr>
            <w:r>
              <w:rPr>
                <w:rFonts w:eastAsiaTheme="minorEastAsia"/>
                <w:kern w:val="0"/>
                <w:szCs w:val="21"/>
              </w:rPr>
              <w:t>2.28</w:t>
            </w:r>
          </w:p>
        </w:tc>
      </w:tr>
      <w:tr w:rsidR="005279F0">
        <w:tc>
          <w:tcPr>
            <w:tcW w:w="817" w:type="dxa"/>
            <w:vAlign w:val="center"/>
          </w:tcPr>
          <w:p w:rsidR="005279F0" w:rsidRDefault="008827D2">
            <w:pPr>
              <w:jc w:val="center"/>
            </w:pPr>
            <w:r>
              <w:rPr>
                <w:rFonts w:eastAsiaTheme="minorEastAsia"/>
                <w:kern w:val="0"/>
                <w:szCs w:val="21"/>
              </w:rPr>
              <w:t>10</w:t>
            </w:r>
          </w:p>
        </w:tc>
        <w:tc>
          <w:tcPr>
            <w:tcW w:w="1276" w:type="dxa"/>
            <w:vAlign w:val="center"/>
          </w:tcPr>
          <w:p w:rsidR="005279F0" w:rsidRDefault="008827D2">
            <w:pPr>
              <w:jc w:val="center"/>
            </w:pPr>
            <w:r>
              <w:rPr>
                <w:rFonts w:eastAsiaTheme="minorEastAsia"/>
                <w:kern w:val="0"/>
                <w:szCs w:val="21"/>
              </w:rPr>
              <w:t>603993</w:t>
            </w:r>
          </w:p>
        </w:tc>
        <w:tc>
          <w:tcPr>
            <w:tcW w:w="1701" w:type="dxa"/>
            <w:vAlign w:val="center"/>
          </w:tcPr>
          <w:p w:rsidR="005279F0" w:rsidRDefault="008827D2">
            <w:pPr>
              <w:jc w:val="center"/>
            </w:pPr>
            <w:r>
              <w:rPr>
                <w:rFonts w:eastAsiaTheme="minorEastAsia"/>
                <w:kern w:val="0"/>
                <w:szCs w:val="21"/>
              </w:rPr>
              <w:t>洛阳钼业</w:t>
            </w:r>
          </w:p>
        </w:tc>
        <w:tc>
          <w:tcPr>
            <w:tcW w:w="1276" w:type="dxa"/>
            <w:vAlign w:val="center"/>
          </w:tcPr>
          <w:p w:rsidR="005279F0" w:rsidRDefault="008827D2">
            <w:pPr>
              <w:jc w:val="right"/>
            </w:pPr>
            <w:r>
              <w:rPr>
                <w:rFonts w:eastAsiaTheme="minorEastAsia"/>
                <w:kern w:val="0"/>
                <w:szCs w:val="21"/>
              </w:rPr>
              <w:t>1,528,000</w:t>
            </w:r>
          </w:p>
        </w:tc>
        <w:tc>
          <w:tcPr>
            <w:tcW w:w="1842" w:type="dxa"/>
            <w:vAlign w:val="center"/>
          </w:tcPr>
          <w:p w:rsidR="005279F0" w:rsidRDefault="008827D2">
            <w:pPr>
              <w:jc w:val="right"/>
            </w:pPr>
            <w:r>
              <w:rPr>
                <w:rFonts w:eastAsiaTheme="minorEastAsia"/>
                <w:kern w:val="0"/>
                <w:szCs w:val="21"/>
              </w:rPr>
              <w:t>12,712,960.00</w:t>
            </w:r>
          </w:p>
        </w:tc>
        <w:tc>
          <w:tcPr>
            <w:tcW w:w="1616" w:type="dxa"/>
            <w:vAlign w:val="center"/>
          </w:tcPr>
          <w:p w:rsidR="005279F0" w:rsidRDefault="008827D2">
            <w:pPr>
              <w:jc w:val="right"/>
            </w:pPr>
            <w:r>
              <w:rPr>
                <w:rFonts w:eastAsiaTheme="minorEastAsia"/>
                <w:kern w:val="0"/>
                <w:szCs w:val="21"/>
              </w:rPr>
              <w:t>2.28</w:t>
            </w:r>
          </w:p>
        </w:tc>
      </w:tr>
    </w:tbl>
    <w:bookmarkEnd w:id="1"/>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5.4 </w:t>
      </w:r>
      <w:r w:rsidRPr="00B27A29">
        <w:rPr>
          <w:rFonts w:eastAsiaTheme="minorEastAsia"/>
          <w:b/>
          <w:color w:val="000000" w:themeColor="text1"/>
          <w:kern w:val="0"/>
          <w:szCs w:val="21"/>
        </w:rPr>
        <w:t>报告期末按债券品种分类的债券投资组合</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 xml:space="preserve">5.5 </w:t>
      </w:r>
      <w:r w:rsidRPr="00B27A29">
        <w:rPr>
          <w:rFonts w:eastAsiaTheme="minorEastAsia"/>
          <w:b/>
          <w:color w:val="000000" w:themeColor="text1"/>
          <w:kern w:val="0"/>
          <w:szCs w:val="21"/>
        </w:rPr>
        <w:t>报告期末按公允价值占基金资产净值比例大小排序的前五名债券投资明细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本基金本报告期末未持有债券。</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5.6</w:t>
      </w:r>
      <w:r w:rsidRPr="00B27A29">
        <w:rPr>
          <w:rFonts w:eastAsiaTheme="minorEastAsia"/>
          <w:b/>
          <w:color w:val="000000" w:themeColor="text1"/>
          <w:kern w:val="0"/>
          <w:szCs w:val="21"/>
        </w:rPr>
        <w:t xml:space="preserve">　报告期末按公允价值占基金资产净值比例大小排序的前十名资产支持证券投资明细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本基金本报告期末未持有资产支持证券。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 xml:space="preserve">5.7 </w:t>
      </w:r>
      <w:r w:rsidRPr="00B27A29">
        <w:rPr>
          <w:rFonts w:eastAsiaTheme="minorEastAsia"/>
          <w:b/>
          <w:bCs/>
          <w:color w:val="000000" w:themeColor="text1"/>
          <w:kern w:val="0"/>
          <w:szCs w:val="21"/>
        </w:rPr>
        <w:t>报告期末按公允价值占基金资产净值比例大小排序的前五名贵金属投资明细</w:t>
      </w:r>
    </w:p>
    <w:p w:rsidR="005E6DF3" w:rsidRPr="00B27A29" w:rsidRDefault="005C671B">
      <w:pPr>
        <w:widowControl/>
        <w:spacing w:line="360" w:lineRule="auto"/>
        <w:ind w:firstLineChars="200" w:firstLine="420"/>
        <w:jc w:val="left"/>
        <w:rPr>
          <w:color w:val="000000" w:themeColor="text1"/>
          <w:szCs w:val="21"/>
        </w:rPr>
      </w:pPr>
      <w:r w:rsidRPr="00B27A29">
        <w:rPr>
          <w:color w:val="000000" w:themeColor="text1"/>
          <w:szCs w:val="21"/>
        </w:rPr>
        <w:t>本基金本报告期末未持有贵金属。</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5.8</w:t>
      </w:r>
      <w:r w:rsidRPr="00B27A29">
        <w:rPr>
          <w:rFonts w:eastAsiaTheme="minorEastAsia"/>
          <w:b/>
          <w:color w:val="000000" w:themeColor="text1"/>
          <w:kern w:val="0"/>
          <w:szCs w:val="21"/>
        </w:rPr>
        <w:t>报告期末按公允价值占基金资产净值比例大小排序的前五名权证投资明细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lastRenderedPageBreak/>
        <w:t>本基金本报告期末未持有权证。</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 xml:space="preserve">5.9 </w:t>
      </w:r>
      <w:r w:rsidRPr="00B27A29">
        <w:rPr>
          <w:rFonts w:eastAsiaTheme="minorEastAsia"/>
          <w:b/>
          <w:color w:val="000000" w:themeColor="text1"/>
          <w:szCs w:val="21"/>
        </w:rPr>
        <w:t>报告期末本基金投资的股指期货交易情况说明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本基金本报告期末未持有股指期货。</w:t>
      </w:r>
    </w:p>
    <w:p w:rsidR="005E6DF3" w:rsidRPr="00B27A29" w:rsidRDefault="005C671B">
      <w:pPr>
        <w:adjustRightInd w:val="0"/>
        <w:snapToGrid w:val="0"/>
        <w:spacing w:beforeLines="100" w:before="312" w:line="360" w:lineRule="auto"/>
        <w:rPr>
          <w:rFonts w:eastAsiaTheme="minorEastAsia"/>
          <w:b/>
          <w:color w:val="000000" w:themeColor="text1"/>
          <w:szCs w:val="21"/>
        </w:rPr>
      </w:pPr>
      <w:r w:rsidRPr="00B27A29">
        <w:rPr>
          <w:rFonts w:eastAsiaTheme="minorEastAsia"/>
          <w:b/>
          <w:color w:val="000000" w:themeColor="text1"/>
          <w:szCs w:val="21"/>
        </w:rPr>
        <w:t>5.10</w:t>
      </w:r>
      <w:r w:rsidRPr="00B27A29">
        <w:rPr>
          <w:rFonts w:eastAsiaTheme="minorEastAsia"/>
          <w:b/>
          <w:color w:val="000000" w:themeColor="text1"/>
          <w:szCs w:val="21"/>
        </w:rPr>
        <w:t>报告期末本基金投资的国债期货交易情况说明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本基金本报告期末未持有国债期货。</w:t>
      </w:r>
    </w:p>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w:t>
      </w:r>
      <w:r w:rsidRPr="00B27A29">
        <w:rPr>
          <w:rFonts w:eastAsiaTheme="minorEastAsia"/>
          <w:b/>
          <w:color w:val="000000" w:themeColor="text1"/>
          <w:kern w:val="0"/>
          <w:szCs w:val="21"/>
        </w:rPr>
        <w:t>投资组合报告附注</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5.11.1</w:t>
      </w:r>
      <w:r w:rsidRPr="00B27A29">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5E6DF3" w:rsidRPr="00B27A29" w:rsidRDefault="005C671B">
      <w:pPr>
        <w:widowControl/>
        <w:spacing w:line="360" w:lineRule="auto"/>
        <w:rPr>
          <w:rFonts w:eastAsiaTheme="minorEastAsia"/>
          <w:color w:val="000000" w:themeColor="text1"/>
          <w:szCs w:val="21"/>
        </w:rPr>
      </w:pPr>
      <w:r w:rsidRPr="00B27A29">
        <w:rPr>
          <w:rFonts w:eastAsiaTheme="minorEastAsia"/>
          <w:color w:val="000000" w:themeColor="text1"/>
          <w:szCs w:val="21"/>
        </w:rPr>
        <w:t>5.11.2</w:t>
      </w:r>
      <w:r w:rsidRPr="00B27A29">
        <w:rPr>
          <w:rFonts w:eastAsiaTheme="minorEastAsia"/>
          <w:color w:val="000000" w:themeColor="text1"/>
          <w:szCs w:val="21"/>
        </w:rPr>
        <w:t>报告期内本基金投资的前十名股票中没有在基金合同规定备选股票库之外的股票。</w:t>
      </w:r>
    </w:p>
    <w:p w:rsidR="005E6DF3" w:rsidRPr="00B27A29" w:rsidRDefault="005C671B">
      <w:pPr>
        <w:autoSpaceDE w:val="0"/>
        <w:autoSpaceDN w:val="0"/>
        <w:adjustRightInd w:val="0"/>
        <w:spacing w:line="360" w:lineRule="auto"/>
        <w:rPr>
          <w:rFonts w:eastAsiaTheme="minorEastAsia"/>
          <w:b/>
          <w:color w:val="000000" w:themeColor="text1"/>
          <w:kern w:val="0"/>
          <w:szCs w:val="21"/>
        </w:rPr>
      </w:pPr>
      <w:r w:rsidRPr="00B27A29">
        <w:rPr>
          <w:rFonts w:eastAsiaTheme="minorEastAsia"/>
          <w:b/>
          <w:color w:val="000000" w:themeColor="text1"/>
          <w:kern w:val="0"/>
          <w:szCs w:val="21"/>
        </w:rPr>
        <w:t>5.11.3</w:t>
      </w:r>
      <w:r w:rsidRPr="00B27A29">
        <w:rPr>
          <w:rFonts w:eastAsiaTheme="minorEastAsia"/>
          <w:b/>
          <w:color w:val="000000" w:themeColor="text1"/>
          <w:kern w:val="0"/>
          <w:szCs w:val="21"/>
        </w:rPr>
        <w:t>其他资产构成</w:t>
      </w:r>
    </w:p>
    <w:tbl>
      <w:tblPr>
        <w:tblStyle w:val="afa"/>
        <w:tblW w:w="8679" w:type="dxa"/>
        <w:tblInd w:w="108" w:type="dxa"/>
        <w:tblLayout w:type="fixed"/>
        <w:tblLook w:val="04A0" w:firstRow="1" w:lastRow="0" w:firstColumn="1" w:lastColumn="0" w:noHBand="0" w:noVBand="1"/>
      </w:tblPr>
      <w:tblGrid>
        <w:gridCol w:w="1110"/>
        <w:gridCol w:w="2761"/>
        <w:gridCol w:w="4808"/>
      </w:tblGrid>
      <w:tr w:rsidR="005E6DF3" w:rsidRPr="00B27A29">
        <w:tc>
          <w:tcPr>
            <w:tcW w:w="1110"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序号</w:t>
            </w:r>
          </w:p>
        </w:tc>
        <w:tc>
          <w:tcPr>
            <w:tcW w:w="2761"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名称</w:t>
            </w:r>
          </w:p>
        </w:tc>
        <w:tc>
          <w:tcPr>
            <w:tcW w:w="4808" w:type="dxa"/>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金额</w:t>
            </w:r>
            <w:r w:rsidRPr="00B27A29">
              <w:rPr>
                <w:rFonts w:eastAsiaTheme="minorEastAsia"/>
                <w:color w:val="000000" w:themeColor="text1"/>
                <w:kern w:val="0"/>
                <w:szCs w:val="21"/>
              </w:rPr>
              <w:t>(</w:t>
            </w:r>
            <w:r w:rsidRPr="00B27A29">
              <w:rPr>
                <w:rFonts w:eastAsiaTheme="minorEastAsia"/>
                <w:color w:val="000000" w:themeColor="text1"/>
                <w:kern w:val="0"/>
                <w:szCs w:val="21"/>
              </w:rPr>
              <w:t>元</w:t>
            </w: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kern w:val="0"/>
                <w:szCs w:val="21"/>
              </w:rPr>
            </w:pPr>
            <w:r w:rsidRPr="00B27A29">
              <w:rPr>
                <w:rFonts w:eastAsiaTheme="minorEastAsia"/>
                <w:color w:val="000000" w:themeColor="text1"/>
                <w:szCs w:val="21"/>
              </w:rPr>
              <w:t>1</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存出保证金</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131,020.20</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2</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应收证券清算款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3</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应收股利</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4</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应收利息</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5</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应收申购款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73,406.27</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6</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其他应收款</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7</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szCs w:val="21"/>
              </w:rPr>
            </w:pPr>
            <w:r w:rsidRPr="00B27A29">
              <w:rPr>
                <w:rFonts w:eastAsiaTheme="minorEastAsia"/>
                <w:color w:val="000000" w:themeColor="text1"/>
                <w:szCs w:val="21"/>
              </w:rPr>
              <w:t>待摊费用</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8</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其他</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w:t>
            </w:r>
          </w:p>
        </w:tc>
      </w:tr>
      <w:tr w:rsidR="005E6DF3" w:rsidRPr="00B27A29">
        <w:tc>
          <w:tcPr>
            <w:tcW w:w="1110" w:type="dxa"/>
            <w:vAlign w:val="center"/>
          </w:tcPr>
          <w:p w:rsidR="005E6DF3" w:rsidRPr="00B27A29" w:rsidRDefault="005C671B">
            <w:pPr>
              <w:autoSpaceDE w:val="0"/>
              <w:autoSpaceDN w:val="0"/>
              <w:adjustRightInd w:val="0"/>
              <w:spacing w:before="29" w:line="360" w:lineRule="auto"/>
              <w:ind w:left="15"/>
              <w:jc w:val="center"/>
              <w:rPr>
                <w:rFonts w:eastAsiaTheme="minorEastAsia"/>
                <w:color w:val="000000" w:themeColor="text1"/>
                <w:szCs w:val="21"/>
              </w:rPr>
            </w:pPr>
            <w:r w:rsidRPr="00B27A29">
              <w:rPr>
                <w:rFonts w:eastAsiaTheme="minorEastAsia"/>
                <w:color w:val="000000" w:themeColor="text1"/>
                <w:szCs w:val="21"/>
              </w:rPr>
              <w:t>9</w:t>
            </w:r>
          </w:p>
        </w:tc>
        <w:tc>
          <w:tcPr>
            <w:tcW w:w="2761" w:type="dxa"/>
            <w:vAlign w:val="center"/>
          </w:tcPr>
          <w:p w:rsidR="005E6DF3" w:rsidRPr="00B27A29" w:rsidRDefault="005C671B">
            <w:pPr>
              <w:autoSpaceDE w:val="0"/>
              <w:autoSpaceDN w:val="0"/>
              <w:adjustRightInd w:val="0"/>
              <w:spacing w:before="29" w:line="360" w:lineRule="auto"/>
              <w:ind w:left="15"/>
              <w:jc w:val="left"/>
              <w:rPr>
                <w:rFonts w:eastAsiaTheme="minorEastAsia"/>
                <w:color w:val="000000" w:themeColor="text1"/>
                <w:kern w:val="0"/>
                <w:szCs w:val="21"/>
              </w:rPr>
            </w:pPr>
            <w:r w:rsidRPr="00B27A29">
              <w:rPr>
                <w:rFonts w:eastAsiaTheme="minorEastAsia"/>
                <w:color w:val="000000" w:themeColor="text1"/>
                <w:kern w:val="0"/>
                <w:szCs w:val="21"/>
              </w:rPr>
              <w:t>合计</w:t>
            </w:r>
          </w:p>
        </w:tc>
        <w:tc>
          <w:tcPr>
            <w:tcW w:w="4808" w:type="dxa"/>
            <w:vAlign w:val="center"/>
          </w:tcPr>
          <w:p w:rsidR="005E6DF3" w:rsidRPr="00B27A29" w:rsidRDefault="005C671B">
            <w:pPr>
              <w:autoSpaceDE w:val="0"/>
              <w:autoSpaceDN w:val="0"/>
              <w:adjustRightInd w:val="0"/>
              <w:spacing w:before="29" w:line="360" w:lineRule="auto"/>
              <w:ind w:left="15"/>
              <w:jc w:val="right"/>
              <w:rPr>
                <w:rFonts w:eastAsiaTheme="minorEastAsia"/>
                <w:color w:val="000000" w:themeColor="text1"/>
                <w:kern w:val="0"/>
                <w:szCs w:val="21"/>
              </w:rPr>
            </w:pPr>
            <w:r w:rsidRPr="00B27A29">
              <w:rPr>
                <w:rFonts w:eastAsiaTheme="minorEastAsia"/>
                <w:color w:val="000000" w:themeColor="text1"/>
                <w:kern w:val="0"/>
                <w:szCs w:val="21"/>
              </w:rPr>
              <w:t>204,426.47</w:t>
            </w:r>
          </w:p>
        </w:tc>
      </w:tr>
    </w:tbl>
    <w:p w:rsidR="005E6DF3" w:rsidRPr="00B27A29" w:rsidRDefault="005C671B">
      <w:pPr>
        <w:autoSpaceDE w:val="0"/>
        <w:autoSpaceDN w:val="0"/>
        <w:adjustRightInd w:val="0"/>
        <w:spacing w:beforeLines="100" w:before="312" w:line="360" w:lineRule="auto"/>
        <w:jc w:val="left"/>
        <w:rPr>
          <w:rFonts w:eastAsiaTheme="minorEastAsia"/>
          <w:b/>
          <w:color w:val="000000" w:themeColor="text1"/>
          <w:kern w:val="0"/>
          <w:szCs w:val="21"/>
        </w:rPr>
      </w:pPr>
      <w:r w:rsidRPr="00B27A29">
        <w:rPr>
          <w:rFonts w:eastAsiaTheme="minorEastAsia"/>
          <w:b/>
          <w:color w:val="000000" w:themeColor="text1"/>
          <w:kern w:val="0"/>
          <w:szCs w:val="21"/>
        </w:rPr>
        <w:t>5.11.4</w:t>
      </w:r>
      <w:r w:rsidRPr="00B27A29">
        <w:rPr>
          <w:rFonts w:eastAsiaTheme="minorEastAsia"/>
          <w:b/>
          <w:color w:val="000000" w:themeColor="text1"/>
          <w:kern w:val="0"/>
          <w:szCs w:val="21"/>
        </w:rPr>
        <w:t>报告期末持有的处于转股期的可转换债券明细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本基金本报告期末未持有处于转股期的可转换债券。</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szCs w:val="21"/>
        </w:rPr>
      </w:pPr>
      <w:r w:rsidRPr="00B27A29">
        <w:rPr>
          <w:rFonts w:eastAsiaTheme="minorEastAsia"/>
          <w:b/>
          <w:color w:val="000000" w:themeColor="text1"/>
          <w:kern w:val="0"/>
          <w:szCs w:val="21"/>
        </w:rPr>
        <w:t>5.11.5</w:t>
      </w:r>
      <w:r w:rsidRPr="00B27A29">
        <w:rPr>
          <w:rFonts w:eastAsiaTheme="minorEastAsia"/>
          <w:b/>
          <w:bCs/>
          <w:color w:val="000000" w:themeColor="text1"/>
          <w:szCs w:val="21"/>
        </w:rPr>
        <w:t>报告期末前十名股票中存在流通受限情况的说明</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本基金本报告期末前十名股票中不存在流通受限情况。</w:t>
      </w:r>
    </w:p>
    <w:p w:rsidR="005E6DF3" w:rsidRPr="00B27A29" w:rsidRDefault="005C671B">
      <w:pPr>
        <w:spacing w:beforeLines="100" w:before="312" w:line="360" w:lineRule="auto"/>
        <w:rPr>
          <w:rFonts w:eastAsiaTheme="minorEastAsia"/>
          <w:b/>
          <w:color w:val="000000" w:themeColor="text1"/>
          <w:kern w:val="0"/>
          <w:szCs w:val="21"/>
        </w:rPr>
      </w:pPr>
      <w:r w:rsidRPr="00B27A29">
        <w:rPr>
          <w:rFonts w:eastAsiaTheme="minorEastAsia"/>
          <w:b/>
          <w:color w:val="000000" w:themeColor="text1"/>
          <w:kern w:val="0"/>
          <w:szCs w:val="21"/>
        </w:rPr>
        <w:t>5.11.6</w:t>
      </w:r>
      <w:r w:rsidRPr="00B27A29">
        <w:rPr>
          <w:rFonts w:eastAsiaTheme="minorEastAsia"/>
          <w:b/>
          <w:color w:val="000000" w:themeColor="text1"/>
          <w:kern w:val="0"/>
          <w:szCs w:val="21"/>
        </w:rPr>
        <w:t>投资组合报告附注的其他文字描述部分</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lastRenderedPageBreak/>
        <w:t>因四舍五入原因，投资组合报告中分项之和与合计可能存在尾差。</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§6  </w:t>
      </w:r>
      <w:r w:rsidRPr="00B27A29">
        <w:rPr>
          <w:rFonts w:eastAsiaTheme="minorEastAsia"/>
          <w:color w:val="000000" w:themeColor="text1"/>
          <w:kern w:val="0"/>
          <w:sz w:val="21"/>
          <w:szCs w:val="21"/>
        </w:rPr>
        <w:t>开放式基金份额变动</w:t>
      </w:r>
    </w:p>
    <w:p w:rsidR="005E6DF3" w:rsidRPr="00B27A29" w:rsidRDefault="005C671B">
      <w:pPr>
        <w:autoSpaceDE w:val="0"/>
        <w:autoSpaceDN w:val="0"/>
        <w:adjustRightInd w:val="0"/>
        <w:spacing w:before="29" w:line="288" w:lineRule="auto"/>
        <w:ind w:left="15" w:right="480"/>
        <w:jc w:val="right"/>
        <w:rPr>
          <w:rFonts w:eastAsiaTheme="minorEastAsia"/>
          <w:color w:val="000000" w:themeColor="text1"/>
          <w:kern w:val="0"/>
          <w:szCs w:val="21"/>
        </w:rPr>
      </w:pPr>
      <w:r w:rsidRPr="00B27A29">
        <w:rPr>
          <w:rFonts w:eastAsiaTheme="minorEastAsia"/>
          <w:color w:val="000000" w:themeColor="text1"/>
          <w:kern w:val="0"/>
          <w:szCs w:val="21"/>
        </w:rPr>
        <w:t>单位：份</w:t>
      </w:r>
    </w:p>
    <w:tbl>
      <w:tblPr>
        <w:tblW w:w="8634" w:type="dxa"/>
        <w:tblInd w:w="108" w:type="dxa"/>
        <w:tblLayout w:type="fixed"/>
        <w:tblLook w:val="04A0" w:firstRow="1" w:lastRow="0" w:firstColumn="1" w:lastColumn="0" w:noHBand="0" w:noVBand="1"/>
      </w:tblPr>
      <w:tblGrid>
        <w:gridCol w:w="3900"/>
        <w:gridCol w:w="2367"/>
        <w:gridCol w:w="2367"/>
      </w:tblGrid>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center"/>
              <w:rPr>
                <w:rFonts w:eastAsiaTheme="minorEastAsia"/>
                <w:color w:val="000000" w:themeColor="text1"/>
                <w:kern w:val="0"/>
                <w:szCs w:val="21"/>
              </w:rPr>
            </w:pPr>
            <w:r w:rsidRPr="00B27A29">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摩根核心优选混合</w:t>
            </w:r>
            <w:r w:rsidRPr="00B27A29">
              <w:rPr>
                <w:rFonts w:eastAsiaTheme="minorEastAsia"/>
                <w:color w:val="000000" w:themeColor="text1"/>
                <w:szCs w:val="21"/>
              </w:rPr>
              <w:t>C</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159,182,352.27</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112,915.43</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1,730,562.78</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59,950.34</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减：报告期期间基金总赎回份额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4,208,681.90</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68,154.76</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报告期期间基金拆分变动份额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w:t>
            </w:r>
          </w:p>
        </w:tc>
      </w:tr>
      <w:tr w:rsidR="005E6DF3" w:rsidRPr="00B27A29">
        <w:tc>
          <w:tcPr>
            <w:tcW w:w="3900"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left"/>
              <w:rPr>
                <w:rFonts w:eastAsiaTheme="minorEastAsia"/>
                <w:color w:val="000000" w:themeColor="text1"/>
                <w:kern w:val="0"/>
                <w:szCs w:val="21"/>
              </w:rPr>
            </w:pPr>
            <w:r w:rsidRPr="00B27A29">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156,704,233.15</w:t>
            </w:r>
          </w:p>
        </w:tc>
        <w:tc>
          <w:tcPr>
            <w:tcW w:w="2367" w:type="dxa"/>
            <w:tcBorders>
              <w:top w:val="single" w:sz="8" w:space="0" w:color="000000"/>
              <w:left w:val="single" w:sz="8" w:space="0" w:color="000000"/>
              <w:bottom w:val="single" w:sz="8" w:space="0" w:color="000000"/>
              <w:right w:val="single" w:sz="8" w:space="0" w:color="000000"/>
            </w:tcBorders>
            <w:vAlign w:val="center"/>
          </w:tcPr>
          <w:p w:rsidR="005E6DF3" w:rsidRPr="00B27A29" w:rsidRDefault="005C671B">
            <w:pPr>
              <w:autoSpaceDE w:val="0"/>
              <w:autoSpaceDN w:val="0"/>
              <w:adjustRightInd w:val="0"/>
              <w:spacing w:before="29" w:line="360" w:lineRule="auto"/>
              <w:ind w:left="17"/>
              <w:jc w:val="right"/>
              <w:rPr>
                <w:rFonts w:eastAsiaTheme="minorEastAsia"/>
                <w:color w:val="000000" w:themeColor="text1"/>
                <w:szCs w:val="21"/>
              </w:rPr>
            </w:pPr>
            <w:r w:rsidRPr="00B27A29">
              <w:rPr>
                <w:rFonts w:eastAsiaTheme="minorEastAsia"/>
                <w:color w:val="000000" w:themeColor="text1"/>
                <w:szCs w:val="21"/>
              </w:rPr>
              <w:t>104,711.01</w:t>
            </w:r>
          </w:p>
        </w:tc>
      </w:tr>
    </w:tbl>
    <w:p w:rsidR="005E6DF3" w:rsidRPr="00B27A29" w:rsidRDefault="005C671B">
      <w:pPr>
        <w:pStyle w:val="1"/>
        <w:tabs>
          <w:tab w:val="center" w:pos="4156"/>
          <w:tab w:val="right" w:pos="8312"/>
        </w:tabs>
        <w:spacing w:beforeLines="100" w:before="312" w:afterLines="100" w:after="312" w:line="360" w:lineRule="auto"/>
        <w:jc w:val="center"/>
        <w:rPr>
          <w:color w:val="000000" w:themeColor="text1"/>
          <w:sz w:val="21"/>
          <w:szCs w:val="21"/>
        </w:rPr>
      </w:pPr>
      <w:r w:rsidRPr="00B27A29">
        <w:rPr>
          <w:rFonts w:eastAsiaTheme="minorEastAsia"/>
          <w:color w:val="000000" w:themeColor="text1"/>
          <w:kern w:val="0"/>
          <w:sz w:val="21"/>
          <w:szCs w:val="21"/>
        </w:rPr>
        <w:t>§7</w:t>
      </w:r>
      <w:r w:rsidRPr="00B27A29">
        <w:rPr>
          <w:color w:val="000000"/>
          <w:sz w:val="21"/>
          <w:szCs w:val="21"/>
          <w:shd w:val="clear" w:color="auto" w:fill="FFFFFF"/>
        </w:rPr>
        <w:t>基金管理人运用固有资金投资本基金情况</w:t>
      </w:r>
    </w:p>
    <w:p w:rsidR="005E6DF3" w:rsidRPr="00B27A29" w:rsidRDefault="005C671B">
      <w:pPr>
        <w:spacing w:line="360" w:lineRule="auto"/>
        <w:jc w:val="left"/>
        <w:rPr>
          <w:color w:val="000000" w:themeColor="text1"/>
          <w:szCs w:val="21"/>
        </w:rPr>
      </w:pPr>
      <w:r w:rsidRPr="00B27A29">
        <w:rPr>
          <w:b/>
          <w:color w:val="000000" w:themeColor="text1"/>
          <w:szCs w:val="21"/>
        </w:rPr>
        <w:t>7.1</w:t>
      </w:r>
      <w:r w:rsidRPr="00B27A29">
        <w:rPr>
          <w:rFonts w:eastAsiaTheme="minorEastAsia"/>
          <w:b/>
          <w:bCs/>
          <w:color w:val="000000" w:themeColor="text1"/>
          <w:kern w:val="44"/>
          <w:szCs w:val="21"/>
        </w:rPr>
        <w:t>基金管理人持有本基金份额变动情况</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spacing w:beforeLines="100" w:before="312" w:line="360" w:lineRule="auto"/>
        <w:jc w:val="left"/>
        <w:rPr>
          <w:color w:val="000000" w:themeColor="text1"/>
          <w:szCs w:val="21"/>
        </w:rPr>
      </w:pPr>
      <w:r w:rsidRPr="00B27A29">
        <w:rPr>
          <w:b/>
          <w:color w:val="000000" w:themeColor="text1"/>
          <w:szCs w:val="21"/>
        </w:rPr>
        <w:t>7.2</w:t>
      </w:r>
      <w:r w:rsidRPr="00B27A29">
        <w:rPr>
          <w:b/>
          <w:color w:val="000000"/>
          <w:szCs w:val="21"/>
          <w:shd w:val="clear" w:color="auto" w:fill="FFFFFF"/>
        </w:rPr>
        <w:t>基金管理人运用固有资金投资本基金交易明细</w:t>
      </w:r>
    </w:p>
    <w:p w:rsidR="005E6DF3" w:rsidRPr="00B27A29" w:rsidRDefault="005C671B">
      <w:pPr>
        <w:autoSpaceDE w:val="0"/>
        <w:autoSpaceDN w:val="0"/>
        <w:adjustRightInd w:val="0"/>
        <w:spacing w:line="360" w:lineRule="auto"/>
        <w:ind w:firstLineChars="200" w:firstLine="420"/>
        <w:jc w:val="left"/>
        <w:rPr>
          <w:rFonts w:eastAsiaTheme="minorEastAsia"/>
          <w:color w:val="000000" w:themeColor="text1"/>
          <w:szCs w:val="21"/>
        </w:rPr>
      </w:pPr>
      <w:r w:rsidRPr="00B27A29">
        <w:rPr>
          <w:rFonts w:eastAsiaTheme="minorEastAsia"/>
          <w:color w:val="000000" w:themeColor="text1"/>
          <w:szCs w:val="21"/>
        </w:rPr>
        <w:t>无。</w:t>
      </w:r>
    </w:p>
    <w:p w:rsidR="005E6DF3" w:rsidRPr="00B27A29" w:rsidRDefault="005C671B">
      <w:pPr>
        <w:pStyle w:val="1"/>
        <w:spacing w:beforeLines="100" w:before="312" w:afterLines="100" w:after="312" w:line="360" w:lineRule="auto"/>
        <w:jc w:val="center"/>
        <w:rPr>
          <w:rFonts w:eastAsiaTheme="minorEastAsia"/>
          <w:color w:val="000000" w:themeColor="text1"/>
          <w:kern w:val="0"/>
          <w:sz w:val="21"/>
          <w:szCs w:val="21"/>
        </w:rPr>
      </w:pPr>
      <w:r w:rsidRPr="00B27A29">
        <w:rPr>
          <w:rFonts w:eastAsiaTheme="minorEastAsia"/>
          <w:color w:val="000000" w:themeColor="text1"/>
          <w:kern w:val="0"/>
          <w:sz w:val="21"/>
          <w:szCs w:val="21"/>
        </w:rPr>
        <w:t xml:space="preserve">§8 </w:t>
      </w:r>
      <w:r w:rsidRPr="00B27A29">
        <w:rPr>
          <w:rFonts w:eastAsiaTheme="minorEastAsia"/>
          <w:color w:val="000000" w:themeColor="text1"/>
          <w:kern w:val="0"/>
          <w:sz w:val="21"/>
          <w:szCs w:val="21"/>
        </w:rPr>
        <w:t>备查文件目录</w:t>
      </w:r>
    </w:p>
    <w:p w:rsidR="005E6DF3" w:rsidRPr="00B27A29" w:rsidRDefault="005C671B">
      <w:pPr>
        <w:autoSpaceDE w:val="0"/>
        <w:autoSpaceDN w:val="0"/>
        <w:adjustRightInd w:val="0"/>
        <w:spacing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8.1</w:t>
      </w:r>
      <w:r w:rsidRPr="00B27A29">
        <w:rPr>
          <w:rFonts w:eastAsiaTheme="minorEastAsia"/>
          <w:b/>
          <w:bCs/>
          <w:color w:val="000000" w:themeColor="text1"/>
          <w:kern w:val="0"/>
          <w:szCs w:val="21"/>
        </w:rPr>
        <w:t>备查文件目录</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一</w:t>
      </w:r>
      <w:r>
        <w:rPr>
          <w:rFonts w:eastAsiaTheme="minorEastAsia"/>
          <w:color w:val="000000" w:themeColor="text1"/>
          <w:szCs w:val="21"/>
        </w:rPr>
        <w:t xml:space="preserve">) </w:t>
      </w:r>
      <w:r>
        <w:rPr>
          <w:rFonts w:eastAsiaTheme="minorEastAsia"/>
          <w:color w:val="000000" w:themeColor="text1"/>
          <w:szCs w:val="21"/>
        </w:rPr>
        <w:t>中国证监会批准本基金募集的文件</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二</w:t>
      </w:r>
      <w:r>
        <w:rPr>
          <w:rFonts w:eastAsiaTheme="minorEastAsia"/>
          <w:color w:val="000000" w:themeColor="text1"/>
          <w:szCs w:val="21"/>
        </w:rPr>
        <w:t xml:space="preserve">)  </w:t>
      </w:r>
      <w:r>
        <w:rPr>
          <w:rFonts w:eastAsiaTheme="minorEastAsia"/>
          <w:color w:val="000000" w:themeColor="text1"/>
          <w:szCs w:val="21"/>
        </w:rPr>
        <w:t>摩根核心优选混合型证券投资基金基金合同</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三</w:t>
      </w:r>
      <w:r>
        <w:rPr>
          <w:rFonts w:eastAsiaTheme="minorEastAsia"/>
          <w:color w:val="000000" w:themeColor="text1"/>
          <w:szCs w:val="21"/>
        </w:rPr>
        <w:t xml:space="preserve">) </w:t>
      </w:r>
      <w:r>
        <w:rPr>
          <w:rFonts w:eastAsiaTheme="minorEastAsia"/>
          <w:color w:val="000000" w:themeColor="text1"/>
          <w:szCs w:val="21"/>
        </w:rPr>
        <w:t>摩根核心优选混合型证券投资基金托管协议</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四</w:t>
      </w:r>
      <w:r>
        <w:rPr>
          <w:rFonts w:eastAsiaTheme="minorEastAsia"/>
          <w:color w:val="000000" w:themeColor="text1"/>
          <w:szCs w:val="21"/>
        </w:rPr>
        <w:t xml:space="preserve">) </w:t>
      </w:r>
      <w:r>
        <w:rPr>
          <w:rFonts w:eastAsiaTheme="minorEastAsia"/>
          <w:color w:val="000000" w:themeColor="text1"/>
          <w:szCs w:val="21"/>
        </w:rPr>
        <w:t>法律意见书</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五</w:t>
      </w:r>
      <w:r>
        <w:rPr>
          <w:rFonts w:eastAsiaTheme="minorEastAsia"/>
          <w:color w:val="000000" w:themeColor="text1"/>
          <w:szCs w:val="21"/>
        </w:rPr>
        <w:t xml:space="preserve">) </w:t>
      </w:r>
      <w:r>
        <w:rPr>
          <w:rFonts w:eastAsiaTheme="minorEastAsia"/>
          <w:color w:val="000000" w:themeColor="text1"/>
          <w:szCs w:val="21"/>
        </w:rPr>
        <w:t>基金管理人业务资格批件、营业执照</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六</w:t>
      </w:r>
      <w:r>
        <w:rPr>
          <w:rFonts w:eastAsiaTheme="minorEastAsia"/>
          <w:color w:val="000000" w:themeColor="text1"/>
          <w:szCs w:val="21"/>
        </w:rPr>
        <w:t xml:space="preserve">) </w:t>
      </w:r>
      <w:r>
        <w:rPr>
          <w:rFonts w:eastAsiaTheme="minorEastAsia"/>
          <w:color w:val="000000" w:themeColor="text1"/>
          <w:szCs w:val="21"/>
        </w:rPr>
        <w:t>基金托管人业务资格批件、营业执照</w:t>
      </w:r>
    </w:p>
    <w:p w:rsidR="005279F0" w:rsidRDefault="008827D2">
      <w:pPr>
        <w:spacing w:line="360" w:lineRule="auto"/>
        <w:ind w:firstLineChars="200" w:firstLine="420"/>
        <w:rPr>
          <w:rFonts w:eastAsiaTheme="minorEastAsia"/>
          <w:color w:val="000000" w:themeColor="text1"/>
          <w:szCs w:val="21"/>
        </w:rPr>
      </w:pPr>
      <w:r>
        <w:rPr>
          <w:rFonts w:eastAsiaTheme="minorEastAsia"/>
          <w:color w:val="000000" w:themeColor="text1"/>
          <w:szCs w:val="21"/>
        </w:rPr>
        <w:t>(</w:t>
      </w:r>
      <w:r>
        <w:rPr>
          <w:rFonts w:eastAsiaTheme="minorEastAsia"/>
          <w:color w:val="000000" w:themeColor="text1"/>
          <w:szCs w:val="21"/>
        </w:rPr>
        <w:t>七</w:t>
      </w:r>
      <w:r>
        <w:rPr>
          <w:rFonts w:eastAsiaTheme="minorEastAsia"/>
          <w:color w:val="000000" w:themeColor="text1"/>
          <w:szCs w:val="21"/>
        </w:rPr>
        <w:t xml:space="preserve">) </w:t>
      </w:r>
      <w:r>
        <w:rPr>
          <w:rFonts w:eastAsiaTheme="minorEastAsia"/>
          <w:color w:val="000000" w:themeColor="text1"/>
          <w:szCs w:val="21"/>
        </w:rPr>
        <w:t>摩根基金管理（中国）有限公司开放式基金业务规则</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w:t>
      </w:r>
      <w:r w:rsidRPr="00B27A29">
        <w:rPr>
          <w:rFonts w:eastAsiaTheme="minorEastAsia"/>
          <w:color w:val="000000" w:themeColor="text1"/>
          <w:szCs w:val="21"/>
        </w:rPr>
        <w:t>八</w:t>
      </w:r>
      <w:r w:rsidRPr="00B27A29">
        <w:rPr>
          <w:rFonts w:eastAsiaTheme="minorEastAsia"/>
          <w:color w:val="000000" w:themeColor="text1"/>
          <w:szCs w:val="21"/>
        </w:rPr>
        <w:t xml:space="preserve">) </w:t>
      </w:r>
      <w:r w:rsidRPr="00B27A29">
        <w:rPr>
          <w:rFonts w:eastAsiaTheme="minorEastAsia"/>
          <w:color w:val="000000" w:themeColor="text1"/>
          <w:szCs w:val="21"/>
        </w:rPr>
        <w:t>中国证监会要求的其他文件</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lastRenderedPageBreak/>
        <w:t>8.2</w:t>
      </w:r>
      <w:r w:rsidRPr="00B27A29">
        <w:rPr>
          <w:rFonts w:eastAsiaTheme="minorEastAsia"/>
          <w:b/>
          <w:bCs/>
          <w:color w:val="000000" w:themeColor="text1"/>
          <w:kern w:val="0"/>
          <w:szCs w:val="21"/>
        </w:rPr>
        <w:t>存放地点</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基金管理人或基金托管人处。</w:t>
      </w:r>
    </w:p>
    <w:p w:rsidR="005E6DF3" w:rsidRPr="00B27A29" w:rsidRDefault="005C671B">
      <w:pPr>
        <w:autoSpaceDE w:val="0"/>
        <w:autoSpaceDN w:val="0"/>
        <w:adjustRightInd w:val="0"/>
        <w:spacing w:beforeLines="100" w:before="312" w:line="360" w:lineRule="auto"/>
        <w:jc w:val="left"/>
        <w:rPr>
          <w:rFonts w:eastAsiaTheme="minorEastAsia"/>
          <w:b/>
          <w:bCs/>
          <w:color w:val="000000" w:themeColor="text1"/>
          <w:kern w:val="0"/>
          <w:szCs w:val="21"/>
        </w:rPr>
      </w:pPr>
      <w:r w:rsidRPr="00B27A29">
        <w:rPr>
          <w:rFonts w:eastAsiaTheme="minorEastAsia"/>
          <w:b/>
          <w:bCs/>
          <w:color w:val="000000" w:themeColor="text1"/>
          <w:kern w:val="0"/>
          <w:szCs w:val="21"/>
        </w:rPr>
        <w:t>8.3</w:t>
      </w:r>
      <w:r w:rsidRPr="00B27A29">
        <w:rPr>
          <w:rFonts w:eastAsiaTheme="minorEastAsia"/>
          <w:b/>
          <w:bCs/>
          <w:color w:val="000000" w:themeColor="text1"/>
          <w:kern w:val="0"/>
          <w:szCs w:val="21"/>
        </w:rPr>
        <w:t>查阅方式</w:t>
      </w:r>
    </w:p>
    <w:p w:rsidR="005E6DF3" w:rsidRPr="00B27A29" w:rsidRDefault="005C671B">
      <w:pPr>
        <w:spacing w:line="360" w:lineRule="auto"/>
        <w:ind w:firstLineChars="200" w:firstLine="420"/>
        <w:rPr>
          <w:rFonts w:eastAsiaTheme="minorEastAsia"/>
          <w:color w:val="000000" w:themeColor="text1"/>
          <w:szCs w:val="21"/>
        </w:rPr>
      </w:pPr>
      <w:r w:rsidRPr="00B27A29">
        <w:rPr>
          <w:rFonts w:eastAsiaTheme="minorEastAsia"/>
          <w:color w:val="000000" w:themeColor="text1"/>
          <w:szCs w:val="21"/>
        </w:rPr>
        <w:t>投资者可在营业时间免费查阅，也可按工本费购买复印件。</w:t>
      </w:r>
    </w:p>
    <w:p w:rsidR="005E6DF3" w:rsidRPr="00B27A29" w:rsidRDefault="005E6DF3">
      <w:pPr>
        <w:spacing w:line="360" w:lineRule="auto"/>
        <w:ind w:left="840"/>
        <w:jc w:val="right"/>
        <w:rPr>
          <w:rFonts w:eastAsiaTheme="minorEastAsia"/>
          <w:color w:val="000000" w:themeColor="text1"/>
          <w:szCs w:val="21"/>
        </w:rPr>
      </w:pPr>
    </w:p>
    <w:p w:rsidR="005E6DF3" w:rsidRPr="00B27A29" w:rsidRDefault="005E6DF3">
      <w:pPr>
        <w:spacing w:line="360" w:lineRule="auto"/>
        <w:ind w:left="840"/>
        <w:jc w:val="center"/>
        <w:rPr>
          <w:rFonts w:eastAsiaTheme="minorEastAsia"/>
          <w:b/>
          <w:color w:val="000000" w:themeColor="text1"/>
          <w:szCs w:val="21"/>
        </w:rPr>
      </w:pP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摩根基金管理（中国）有限公司</w:t>
      </w:r>
    </w:p>
    <w:p w:rsidR="005E6DF3" w:rsidRPr="00B27A29" w:rsidRDefault="005C671B">
      <w:pPr>
        <w:spacing w:line="360" w:lineRule="auto"/>
        <w:jc w:val="right"/>
        <w:rPr>
          <w:rFonts w:eastAsiaTheme="minorEastAsia"/>
          <w:b/>
          <w:bCs/>
          <w:color w:val="000000" w:themeColor="text1"/>
          <w:szCs w:val="21"/>
        </w:rPr>
      </w:pPr>
      <w:r w:rsidRPr="00B27A29">
        <w:rPr>
          <w:rFonts w:eastAsiaTheme="minorEastAsia"/>
          <w:b/>
          <w:bCs/>
          <w:color w:val="000000" w:themeColor="text1"/>
          <w:szCs w:val="21"/>
        </w:rPr>
        <w:t>二〇二四年四月二十二日</w:t>
      </w:r>
    </w:p>
    <w:sectPr w:rsidR="005E6DF3" w:rsidRPr="00B27A29">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387" w:rsidRDefault="005B0387">
      <w:r>
        <w:separator/>
      </w:r>
    </w:p>
  </w:endnote>
  <w:endnote w:type="continuationSeparator" w:id="0">
    <w:p w:rsidR="005B0387" w:rsidRDefault="005B0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altName w:val="Malgun Gothic Semilight"/>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jc w:val="center"/>
    </w:pPr>
    <w:r>
      <w:rPr>
        <w:rFonts w:hint="eastAsia"/>
        <w:kern w:val="0"/>
        <w:szCs w:val="21"/>
      </w:rPr>
      <w:t>第</w:t>
    </w:r>
    <w:r>
      <w:rPr>
        <w:kern w:val="0"/>
        <w:szCs w:val="21"/>
      </w:rPr>
      <w:fldChar w:fldCharType="begin"/>
    </w:r>
    <w:r>
      <w:rPr>
        <w:kern w:val="0"/>
        <w:szCs w:val="21"/>
      </w:rPr>
      <w:instrText xml:space="preserve"> PAGE </w:instrText>
    </w:r>
    <w:r>
      <w:rPr>
        <w:kern w:val="0"/>
        <w:szCs w:val="21"/>
      </w:rPr>
      <w:fldChar w:fldCharType="separate"/>
    </w:r>
    <w:r w:rsidR="008827D2">
      <w:rPr>
        <w:noProof/>
        <w:kern w:val="0"/>
        <w:szCs w:val="21"/>
      </w:rPr>
      <w:t>1</w:t>
    </w:r>
    <w:r>
      <w:rPr>
        <w:kern w:val="0"/>
        <w:szCs w:val="21"/>
      </w:rPr>
      <w:fldChar w:fldCharType="end"/>
    </w:r>
    <w:r>
      <w:rPr>
        <w:rFonts w:hint="eastAsia"/>
        <w:kern w:val="0"/>
        <w:szCs w:val="21"/>
      </w:rPr>
      <w:t>页共</w:t>
    </w:r>
    <w:r>
      <w:rPr>
        <w:kern w:val="0"/>
        <w:szCs w:val="21"/>
      </w:rPr>
      <w:fldChar w:fldCharType="begin"/>
    </w:r>
    <w:r>
      <w:rPr>
        <w:kern w:val="0"/>
        <w:szCs w:val="21"/>
      </w:rPr>
      <w:instrText xml:space="preserve"> NUMPAGES </w:instrText>
    </w:r>
    <w:r>
      <w:rPr>
        <w:kern w:val="0"/>
        <w:szCs w:val="21"/>
      </w:rPr>
      <w:fldChar w:fldCharType="separate"/>
    </w:r>
    <w:r w:rsidR="008827D2">
      <w:rPr>
        <w:noProof/>
        <w:kern w:val="0"/>
        <w:szCs w:val="21"/>
      </w:rPr>
      <w:t>13</w:t>
    </w:r>
    <w:r>
      <w:rPr>
        <w:kern w:val="0"/>
        <w:szCs w:val="21"/>
      </w:rPr>
      <w:fldChar w:fldCharType="end"/>
    </w:r>
    <w:r>
      <w:rPr>
        <w:rFonts w:hint="eastAsia"/>
        <w:kern w:val="0"/>
        <w:szCs w:val="21"/>
      </w:rPr>
      <w:t>页</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5C671B" w:rsidRDefault="005C671B">
    <w:pPr>
      <w:pStyle w:val="a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e"/>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sidR="008827D2">
      <w:rPr>
        <w:rStyle w:val="af6"/>
        <w:noProof/>
      </w:rPr>
      <w:t>12</w:t>
    </w:r>
    <w:r>
      <w:rPr>
        <w:rStyle w:val="af6"/>
      </w:rPr>
      <w:fldChar w:fldCharType="end"/>
    </w:r>
  </w:p>
  <w:p w:rsidR="005C671B" w:rsidRDefault="005C671B">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387" w:rsidRDefault="005B0387">
      <w:r>
        <w:separator/>
      </w:r>
    </w:p>
  </w:footnote>
  <w:footnote w:type="continuationSeparator" w:id="0">
    <w:p w:rsidR="005B0387" w:rsidRDefault="005B03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671B" w:rsidRDefault="005C671B">
    <w:pPr>
      <w:pStyle w:val="af"/>
      <w:pBdr>
        <w:bottom w:val="single" w:sz="6" w:space="0" w:color="auto"/>
      </w:pBdr>
      <w:jc w:val="right"/>
    </w:pPr>
    <w:r>
      <w:t>摩根核心优选混合型证券投资基金</w:t>
    </w:r>
    <w:r>
      <w:t>2024</w:t>
    </w:r>
    <w:r>
      <w:t>年第</w:t>
    </w:r>
    <w:r>
      <w:t>1</w:t>
    </w:r>
    <w: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3196"/>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279F0"/>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14B9"/>
    <w:rsid w:val="005A46FF"/>
    <w:rsid w:val="005A557E"/>
    <w:rsid w:val="005A63FD"/>
    <w:rsid w:val="005B0387"/>
    <w:rsid w:val="005B462A"/>
    <w:rsid w:val="005B5137"/>
    <w:rsid w:val="005B6047"/>
    <w:rsid w:val="005C0ED7"/>
    <w:rsid w:val="005C5409"/>
    <w:rsid w:val="005C62A5"/>
    <w:rsid w:val="005C671B"/>
    <w:rsid w:val="005C6FF7"/>
    <w:rsid w:val="005C7C75"/>
    <w:rsid w:val="005C7D00"/>
    <w:rsid w:val="005D01A4"/>
    <w:rsid w:val="005D0BAB"/>
    <w:rsid w:val="005D1893"/>
    <w:rsid w:val="005D26E9"/>
    <w:rsid w:val="005D2CAA"/>
    <w:rsid w:val="005D4CBA"/>
    <w:rsid w:val="005E01A3"/>
    <w:rsid w:val="005E0354"/>
    <w:rsid w:val="005E4F74"/>
    <w:rsid w:val="005E6C62"/>
    <w:rsid w:val="005E6DF3"/>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27D2"/>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2511"/>
    <w:rsid w:val="00B23996"/>
    <w:rsid w:val="00B23CB2"/>
    <w:rsid w:val="00B24A18"/>
    <w:rsid w:val="00B255C5"/>
    <w:rsid w:val="00B25807"/>
    <w:rsid w:val="00B268DD"/>
    <w:rsid w:val="00B27A29"/>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34D"/>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4E0E"/>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07B"/>
    <w:rsid w:val="00ED4277"/>
    <w:rsid w:val="00ED7C8C"/>
    <w:rsid w:val="00ED7DDB"/>
    <w:rsid w:val="00EE431B"/>
    <w:rsid w:val="00EE4874"/>
    <w:rsid w:val="00EE53E5"/>
    <w:rsid w:val="00EE6654"/>
    <w:rsid w:val="00EE73FB"/>
    <w:rsid w:val="00EE7BF0"/>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18E9033-CCD3-4D67-A782-7E62245B6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paragraph" w:styleId="2">
    <w:name w:val="heading 2"/>
    <w:basedOn w:val="a"/>
    <w:next w:val="a0"/>
    <w:qFormat/>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0"/>
    <w:uiPriority w:val="9"/>
    <w:unhideWhenUsed/>
    <w:qFormat/>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Chars="200" w:firstLine="420"/>
    </w:pPr>
  </w:style>
  <w:style w:type="paragraph" w:styleId="a4">
    <w:name w:val="annotation subject"/>
    <w:basedOn w:val="a5"/>
    <w:next w:val="a5"/>
    <w:semiHidden/>
    <w:qFormat/>
    <w:rPr>
      <w:b/>
      <w:bCs/>
    </w:rPr>
  </w:style>
  <w:style w:type="paragraph" w:styleId="a5">
    <w:name w:val="annotation text"/>
    <w:basedOn w:val="a"/>
    <w:semiHidden/>
    <w:qFormat/>
    <w:pPr>
      <w:jc w:val="left"/>
    </w:pPr>
  </w:style>
  <w:style w:type="paragraph" w:styleId="a6">
    <w:name w:val="Document Map"/>
    <w:basedOn w:val="a"/>
    <w:semiHidden/>
    <w:qFormat/>
    <w:pPr>
      <w:shd w:val="clear" w:color="auto" w:fill="000080"/>
    </w:pPr>
  </w:style>
  <w:style w:type="paragraph" w:styleId="a7">
    <w:name w:val="Body Text"/>
    <w:basedOn w:val="a"/>
    <w:qFormat/>
    <w:pPr>
      <w:spacing w:after="120"/>
    </w:pPr>
  </w:style>
  <w:style w:type="paragraph" w:styleId="a8">
    <w:name w:val="Body Text Indent"/>
    <w:basedOn w:val="a"/>
    <w:qFormat/>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aa"/>
    <w:uiPriority w:val="99"/>
    <w:qFormat/>
    <w:rPr>
      <w:rFonts w:ascii="宋体" w:hAnsi="Courier New"/>
      <w:szCs w:val="21"/>
    </w:rPr>
  </w:style>
  <w:style w:type="paragraph" w:styleId="ab">
    <w:name w:val="Date"/>
    <w:basedOn w:val="a"/>
    <w:next w:val="a"/>
    <w:link w:val="ac"/>
    <w:qFormat/>
    <w:rPr>
      <w:sz w:val="24"/>
      <w:szCs w:val="20"/>
    </w:rPr>
  </w:style>
  <w:style w:type="paragraph" w:styleId="20">
    <w:name w:val="Body Text Indent 2"/>
    <w:basedOn w:val="a"/>
    <w:qFormat/>
    <w:pPr>
      <w:spacing w:line="560" w:lineRule="exact"/>
      <w:ind w:firstLineChars="200" w:firstLine="480"/>
    </w:pPr>
    <w:rPr>
      <w:rFonts w:ascii="宋体" w:hAnsi="宋体"/>
      <w:color w:val="FF0000"/>
      <w:sz w:val="24"/>
    </w:rPr>
  </w:style>
  <w:style w:type="paragraph" w:styleId="ad">
    <w:name w:val="Balloon Text"/>
    <w:basedOn w:val="a"/>
    <w:semiHidden/>
    <w:qFormat/>
    <w:rPr>
      <w:sz w:val="18"/>
      <w:szCs w:val="18"/>
    </w:rPr>
  </w:style>
  <w:style w:type="paragraph" w:styleId="ae">
    <w:name w:val="footer"/>
    <w:basedOn w:val="a"/>
    <w:qFormat/>
    <w:pPr>
      <w:tabs>
        <w:tab w:val="center" w:pos="4153"/>
        <w:tab w:val="right" w:pos="8306"/>
      </w:tabs>
      <w:snapToGrid w:val="0"/>
      <w:jc w:val="left"/>
    </w:pPr>
    <w:rPr>
      <w:sz w:val="18"/>
      <w:szCs w:val="18"/>
    </w:rPr>
  </w:style>
  <w:style w:type="paragraph" w:styleId="af">
    <w:name w:val="header"/>
    <w:basedOn w:val="a"/>
    <w:link w:val="af0"/>
    <w:uiPriority w:val="99"/>
    <w:qFormat/>
    <w:pPr>
      <w:pBdr>
        <w:bottom w:val="single" w:sz="6" w:space="1" w:color="auto"/>
      </w:pBdr>
      <w:tabs>
        <w:tab w:val="center" w:pos="4153"/>
        <w:tab w:val="right" w:pos="8306"/>
      </w:tabs>
      <w:snapToGrid w:val="0"/>
      <w:jc w:val="center"/>
    </w:pPr>
    <w:rPr>
      <w:sz w:val="18"/>
      <w:szCs w:val="18"/>
    </w:rPr>
  </w:style>
  <w:style w:type="paragraph" w:styleId="af1">
    <w:name w:val="List"/>
    <w:basedOn w:val="a7"/>
    <w:qFormat/>
    <w:pPr>
      <w:spacing w:after="220" w:line="220" w:lineRule="atLeast"/>
      <w:ind w:left="1440" w:hanging="360"/>
    </w:pPr>
    <w:rPr>
      <w:szCs w:val="20"/>
    </w:rPr>
  </w:style>
  <w:style w:type="paragraph" w:styleId="af2">
    <w:name w:val="footnote text"/>
    <w:basedOn w:val="a"/>
    <w:link w:val="af3"/>
    <w:qFormat/>
    <w:pPr>
      <w:snapToGrid w:val="0"/>
      <w:jc w:val="left"/>
    </w:pPr>
    <w:rPr>
      <w:sz w:val="18"/>
      <w:szCs w:val="18"/>
    </w:rPr>
  </w:style>
  <w:style w:type="paragraph" w:styleId="31">
    <w:name w:val="Body Text Indent 3"/>
    <w:basedOn w:val="a"/>
    <w:qFormat/>
    <w:pPr>
      <w:spacing w:line="560" w:lineRule="exact"/>
      <w:ind w:firstLineChars="200" w:firstLine="420"/>
    </w:pPr>
    <w:rPr>
      <w:rFonts w:ascii="Arial" w:hAnsi="Arial" w:cs="Arial"/>
      <w:color w:val="FF0000"/>
    </w:rPr>
  </w:style>
  <w:style w:type="paragraph" w:styleId="af4">
    <w:name w:val="Normal (Web)"/>
    <w:basedOn w:val="a"/>
    <w:qFormat/>
    <w:pPr>
      <w:widowControl/>
      <w:spacing w:before="100" w:beforeAutospacing="1" w:after="100" w:afterAutospacing="1"/>
      <w:jc w:val="left"/>
    </w:pPr>
    <w:rPr>
      <w:rFonts w:ascii="宋体" w:hAnsi="宋体"/>
      <w:kern w:val="0"/>
      <w:sz w:val="24"/>
    </w:rPr>
  </w:style>
  <w:style w:type="paragraph" w:styleId="11">
    <w:name w:val="index 1"/>
    <w:basedOn w:val="a"/>
    <w:next w:val="a"/>
    <w:semiHidden/>
    <w:qFormat/>
    <w:pPr>
      <w:jc w:val="right"/>
    </w:pPr>
    <w:rPr>
      <w:color w:val="008000"/>
    </w:rPr>
  </w:style>
  <w:style w:type="character" w:styleId="af5">
    <w:name w:val="Strong"/>
    <w:basedOn w:val="a1"/>
    <w:uiPriority w:val="22"/>
    <w:qFormat/>
    <w:rPr>
      <w:b/>
      <w:bCs/>
    </w:rPr>
  </w:style>
  <w:style w:type="character" w:styleId="af6">
    <w:name w:val="page number"/>
    <w:basedOn w:val="a1"/>
    <w:qFormat/>
  </w:style>
  <w:style w:type="character" w:styleId="af7">
    <w:name w:val="Hyperlink"/>
    <w:basedOn w:val="a1"/>
    <w:qFormat/>
    <w:rPr>
      <w:color w:val="0000FF"/>
      <w:u w:val="single"/>
    </w:rPr>
  </w:style>
  <w:style w:type="character" w:styleId="af8">
    <w:name w:val="annotation reference"/>
    <w:basedOn w:val="a1"/>
    <w:semiHidden/>
    <w:qFormat/>
    <w:rPr>
      <w:sz w:val="21"/>
      <w:szCs w:val="21"/>
    </w:rPr>
  </w:style>
  <w:style w:type="character" w:styleId="af9">
    <w:name w:val="footnote reference"/>
    <w:basedOn w:val="a1"/>
    <w:qFormat/>
    <w:rPr>
      <w:vertAlign w:val="superscript"/>
    </w:rPr>
  </w:style>
  <w:style w:type="table" w:styleId="afa">
    <w:name w:val="Table Grid"/>
    <w:basedOn w:val="a2"/>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已访问的超链接1"/>
    <w:basedOn w:val="a1"/>
    <w:qFormat/>
    <w:rPr>
      <w:color w:val="800080"/>
      <w:u w:val="single"/>
    </w:rPr>
  </w:style>
  <w:style w:type="character" w:customStyle="1" w:styleId="c1">
    <w:name w:val="c1"/>
    <w:basedOn w:val="a1"/>
    <w:qFormat/>
    <w:rPr>
      <w:color w:val="000000"/>
      <w:sz w:val="18"/>
      <w:szCs w:val="18"/>
    </w:rPr>
  </w:style>
  <w:style w:type="paragraph" w:customStyle="1" w:styleId="font5">
    <w:name w:val="font5"/>
    <w:basedOn w:val="a"/>
    <w:qFormat/>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
    <w:name w:val="Char"/>
    <w:basedOn w:val="a"/>
    <w:qFormat/>
  </w:style>
  <w:style w:type="paragraph" w:customStyle="1" w:styleId="Char1">
    <w:name w:val="Char1"/>
    <w:basedOn w:val="a"/>
    <w:qFormat/>
  </w:style>
  <w:style w:type="character" w:customStyle="1" w:styleId="t1">
    <w:name w:val="t1"/>
    <w:basedOn w:val="a1"/>
    <w:rPr>
      <w:color w:val="990000"/>
    </w:rPr>
  </w:style>
  <w:style w:type="character" w:customStyle="1" w:styleId="aa">
    <w:name w:val="纯文本 字符"/>
    <w:basedOn w:val="a1"/>
    <w:link w:val="a9"/>
    <w:uiPriority w:val="99"/>
    <w:rPr>
      <w:rFonts w:ascii="宋体" w:hAnsi="Courier New"/>
      <w:kern w:val="2"/>
      <w:sz w:val="21"/>
      <w:szCs w:val="21"/>
    </w:rPr>
  </w:style>
  <w:style w:type="character" w:customStyle="1" w:styleId="af3">
    <w:name w:val="脚注文本 字符"/>
    <w:basedOn w:val="a1"/>
    <w:link w:val="af2"/>
    <w:rPr>
      <w:kern w:val="2"/>
      <w:sz w:val="18"/>
      <w:szCs w:val="18"/>
    </w:rPr>
  </w:style>
  <w:style w:type="paragraph" w:customStyle="1" w:styleId="Default">
    <w:name w:val="Default"/>
    <w:pPr>
      <w:widowControl w:val="0"/>
      <w:autoSpaceDE w:val="0"/>
      <w:autoSpaceDN w:val="0"/>
      <w:adjustRightInd w:val="0"/>
    </w:pPr>
    <w:rPr>
      <w:rFonts w:ascii="仿宋" w:hAnsi="仿宋" w:cs="仿宋"/>
      <w:color w:val="000000"/>
      <w:sz w:val="24"/>
      <w:szCs w:val="24"/>
    </w:rPr>
  </w:style>
  <w:style w:type="character" w:customStyle="1" w:styleId="af0">
    <w:name w:val="页眉 字符"/>
    <w:basedOn w:val="a1"/>
    <w:link w:val="af"/>
    <w:uiPriority w:val="99"/>
    <w:rPr>
      <w:kern w:val="2"/>
      <w:sz w:val="18"/>
      <w:szCs w:val="18"/>
    </w:rPr>
  </w:style>
  <w:style w:type="character" w:customStyle="1" w:styleId="10">
    <w:name w:val="标题 1 字符"/>
    <w:basedOn w:val="a1"/>
    <w:link w:val="1"/>
    <w:rPr>
      <w:b/>
      <w:bCs/>
      <w:kern w:val="44"/>
      <w:sz w:val="44"/>
      <w:szCs w:val="44"/>
    </w:rPr>
  </w:style>
  <w:style w:type="character" w:customStyle="1" w:styleId="ac">
    <w:name w:val="日期 字符"/>
    <w:basedOn w:val="a1"/>
    <w:link w:val="ab"/>
    <w:rPr>
      <w:kern w:val="2"/>
      <w:sz w:val="24"/>
    </w:rPr>
  </w:style>
  <w:style w:type="character" w:customStyle="1" w:styleId="30">
    <w:name w:val="标题 3 字符"/>
    <w:basedOn w:val="a1"/>
    <w:link w:val="3"/>
    <w:uiPriority w:val="9"/>
    <w:qFormat/>
    <w:rPr>
      <w:rFonts w:asciiTheme="minorHAnsi" w:eastAsiaTheme="minorEastAsia" w:hAnsiTheme="minorHAnsi" w:cstheme="min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3814176">
      <w:bodyDiv w:val="1"/>
      <w:marLeft w:val="0"/>
      <w:marRight w:val="0"/>
      <w:marTop w:val="0"/>
      <w:marBottom w:val="0"/>
      <w:divBdr>
        <w:top w:val="none" w:sz="0" w:space="0" w:color="auto"/>
        <w:left w:val="none" w:sz="0" w:space="0" w:color="auto"/>
        <w:bottom w:val="none" w:sz="0" w:space="0" w:color="auto"/>
        <w:right w:val="none" w:sz="0" w:space="0" w:color="auto"/>
      </w:divBdr>
    </w:div>
    <w:div w:id="12961749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1F2963C-99EE-4F67-A2F8-923467A5B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abc季报</Template>
  <TotalTime>32</TotalTime>
  <Pages>13</Pages>
  <Words>1117</Words>
  <Characters>6370</Characters>
  <Application>Microsoft Office Word</Application>
  <DocSecurity>0</DocSecurity>
  <Lines>53</Lines>
  <Paragraphs>14</Paragraphs>
  <ScaleCrop>false</ScaleCrop>
  <Company>TRT. Ltd. Co.</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Yang.Wang@FA</cp:lastModifiedBy>
  <cp:revision>220</cp:revision>
  <cp:lastPrinted>2007-07-19T00:46:00Z</cp:lastPrinted>
  <dcterms:created xsi:type="dcterms:W3CDTF">2013-06-21T06:56:00Z</dcterms:created>
  <dcterms:modified xsi:type="dcterms:W3CDTF">2024-04-19T02:51:00Z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